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078" w:rsidRDefault="009C7078" w:rsidP="009C7078">
      <w:pPr>
        <w:jc w:val="center"/>
        <w:rPr>
          <w:rFonts w:ascii="Arial" w:hAnsi="Arial"/>
          <w:b/>
        </w:rPr>
      </w:pPr>
      <w:bookmarkStart w:id="0" w:name="_GoBack"/>
      <w:bookmarkEnd w:id="0"/>
      <w:permStart w:id="0" w:edGrp="everyone"/>
      <w:permEnd w:id="0"/>
      <w:r>
        <w:rPr>
          <w:rFonts w:ascii="Arial" w:hAnsi="Arial"/>
          <w:b/>
        </w:rPr>
        <w:t>RELATÓRIO E PARECER</w:t>
      </w:r>
    </w:p>
    <w:p w:rsidR="009C7078" w:rsidRDefault="009C7078" w:rsidP="009C7078">
      <w:pPr>
        <w:jc w:val="center"/>
        <w:rPr>
          <w:rFonts w:ascii="Arial" w:hAnsi="Arial"/>
          <w:b/>
        </w:rPr>
      </w:pPr>
    </w:p>
    <w:p w:rsidR="009C7078" w:rsidRDefault="009C7078" w:rsidP="009C7078">
      <w:pPr>
        <w:jc w:val="center"/>
        <w:rPr>
          <w:rFonts w:ascii="Arial" w:hAnsi="Arial"/>
          <w:b/>
        </w:rPr>
      </w:pPr>
      <w:r>
        <w:rPr>
          <w:rFonts w:ascii="Arial" w:hAnsi="Arial"/>
          <w:b/>
        </w:rPr>
        <w:t xml:space="preserve">DO DEPARTAMENTO DE CONTROLE INTERNO </w:t>
      </w: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pStyle w:val="Recuodecorpodetexto"/>
        <w:spacing w:line="360" w:lineRule="auto"/>
        <w:rPr>
          <w:rFonts w:ascii="Arial" w:hAnsi="Arial"/>
        </w:rPr>
      </w:pPr>
      <w:r>
        <w:rPr>
          <w:rFonts w:ascii="Arial" w:hAnsi="Arial"/>
        </w:rPr>
        <w:t xml:space="preserve">Na qualidade de responsável pelo órgão de Controle Interno do Município de Dona Francisca, apresento o Relatório e Parecer sobre as contas do Poder Executivo, relativos ao </w:t>
      </w:r>
      <w:r>
        <w:rPr>
          <w:rFonts w:ascii="Arial" w:hAnsi="Arial"/>
          <w:b/>
        </w:rPr>
        <w:t>exercício de 202</w:t>
      </w:r>
      <w:r w:rsidR="00C85DDE">
        <w:rPr>
          <w:rFonts w:ascii="Arial" w:hAnsi="Arial"/>
          <w:b/>
        </w:rPr>
        <w:t>4</w:t>
      </w:r>
      <w:r>
        <w:rPr>
          <w:rFonts w:ascii="Arial" w:hAnsi="Arial"/>
        </w:rPr>
        <w:t>, em conformidade com o previsto no art. 74 da Constituição Federal, artigo 59 da Lei Complementar n.º 101, de 04 de maio de 2000 e, nos termos da Resolução nº 1.134/2020 do Tribunal de Contas do Estado do Rio Grande do Sul.</w:t>
      </w:r>
    </w:p>
    <w:p w:rsidR="009C7078" w:rsidRDefault="009C7078" w:rsidP="009C7078">
      <w:pPr>
        <w:pStyle w:val="Recuodecorpodetexto"/>
        <w:spacing w:line="360" w:lineRule="auto"/>
        <w:rPr>
          <w:rFonts w:ascii="Arial" w:hAnsi="Arial"/>
        </w:rPr>
      </w:pPr>
    </w:p>
    <w:p w:rsidR="009C7078" w:rsidRDefault="009C7078" w:rsidP="009C7078">
      <w:pPr>
        <w:pStyle w:val="Recuodecorpodetexto"/>
        <w:numPr>
          <w:ilvl w:val="0"/>
          <w:numId w:val="1"/>
        </w:numPr>
        <w:tabs>
          <w:tab w:val="num" w:pos="-2268"/>
        </w:tabs>
        <w:spacing w:line="360" w:lineRule="auto"/>
        <w:ind w:left="0" w:firstLine="3828"/>
        <w:rPr>
          <w:rFonts w:ascii="Arial" w:hAnsi="Arial"/>
        </w:rPr>
      </w:pPr>
      <w:r>
        <w:rPr>
          <w:rFonts w:ascii="Arial" w:hAnsi="Arial"/>
        </w:rPr>
        <w:t>Destaca-se, inicialmente que o órgão de controle interno do Município foi instituído pela Lei Municipal n.º 707/2001, de 18 de setembro de 2001, alterada pela Lei Municipal nº 934/2006, de 07 de dezembro de 2006; sendo que em 25 de março de 2014, através da Lei Municipal nº 1.422/2014, houve nova alteração da legislação pertinente ao Controle Interno, revogando as legislações anteriores. Ao findar o exercício financeiro de 2021, houve novamente reestruturação do Controle Interno através da Lei Municipal nº 1.848/2021, de 21 de dezembro de 2021. Atualmente, apenas um membro do Controle Interno foi designado, através da Portaria nº 021/2021, de 06 de janeiro de 2021.</w:t>
      </w:r>
    </w:p>
    <w:p w:rsidR="009C7078" w:rsidRDefault="009C7078" w:rsidP="009C7078">
      <w:pPr>
        <w:pStyle w:val="Recuodecorpodetexto"/>
        <w:spacing w:line="360" w:lineRule="auto"/>
        <w:ind w:firstLine="0"/>
        <w:rPr>
          <w:rFonts w:ascii="Arial" w:hAnsi="Arial"/>
        </w:rPr>
      </w:pPr>
    </w:p>
    <w:p w:rsidR="009C7078" w:rsidRDefault="009C7078" w:rsidP="009C7078">
      <w:pPr>
        <w:pStyle w:val="Recuodecorpodetexto"/>
        <w:numPr>
          <w:ilvl w:val="0"/>
          <w:numId w:val="1"/>
        </w:numPr>
        <w:tabs>
          <w:tab w:val="num" w:pos="-2268"/>
        </w:tabs>
        <w:spacing w:line="360" w:lineRule="auto"/>
        <w:ind w:left="0" w:firstLine="3828"/>
        <w:rPr>
          <w:rFonts w:ascii="Arial" w:hAnsi="Arial"/>
        </w:rPr>
      </w:pPr>
      <w:r>
        <w:rPr>
          <w:rFonts w:ascii="Arial" w:hAnsi="Arial"/>
        </w:rPr>
        <w:t>Ressalta-se que a correção de alguns procedimentos, que foram sugeridos pelo Departamento de Controle Interno estão sendo encaminhados para o aperfeiçoamento dos métodos de trabalho em busca de atuação balizada sempre pelos princípios que regem a Administração Pública (CF, art. 37).</w:t>
      </w:r>
    </w:p>
    <w:p w:rsidR="009C7078" w:rsidRDefault="009C7078" w:rsidP="009C7078">
      <w:pPr>
        <w:pStyle w:val="Recuodecorpodetexto"/>
        <w:spacing w:line="360" w:lineRule="auto"/>
        <w:ind w:firstLine="0"/>
        <w:rPr>
          <w:rFonts w:ascii="Arial" w:hAnsi="Arial"/>
        </w:rPr>
      </w:pPr>
    </w:p>
    <w:p w:rsidR="009C7078" w:rsidRPr="00C85DDE" w:rsidRDefault="009C7078" w:rsidP="009C7078">
      <w:pPr>
        <w:pStyle w:val="Recuodecorpodetexto"/>
        <w:numPr>
          <w:ilvl w:val="0"/>
          <w:numId w:val="1"/>
        </w:numPr>
        <w:tabs>
          <w:tab w:val="num" w:pos="-2268"/>
        </w:tabs>
        <w:spacing w:line="360" w:lineRule="auto"/>
        <w:ind w:left="0" w:firstLine="3828"/>
        <w:rPr>
          <w:rFonts w:ascii="Arial" w:hAnsi="Arial"/>
        </w:rPr>
      </w:pPr>
      <w:r w:rsidRPr="00C85DDE">
        <w:rPr>
          <w:rFonts w:ascii="Arial" w:hAnsi="Arial"/>
        </w:rPr>
        <w:t xml:space="preserve"> Em análise da execução do orçamento, verificamos o atingimento das metas estabelecidas na lei</w:t>
      </w:r>
      <w:r w:rsidR="00C85DDE" w:rsidRPr="00C85DDE">
        <w:rPr>
          <w:rFonts w:ascii="Arial" w:hAnsi="Arial"/>
        </w:rPr>
        <w:t>s orçamentárias (PPA, LDO e LOA)</w:t>
      </w:r>
      <w:r w:rsidRPr="00C85DDE">
        <w:rPr>
          <w:rFonts w:ascii="Arial" w:hAnsi="Arial"/>
        </w:rPr>
        <w:t xml:space="preserve">, </w:t>
      </w:r>
      <w:r w:rsidR="00C85DDE" w:rsidRPr="00C85DDE">
        <w:rPr>
          <w:rFonts w:ascii="Arial" w:hAnsi="Arial"/>
        </w:rPr>
        <w:t xml:space="preserve">sendo que </w:t>
      </w:r>
      <w:r w:rsidRPr="00C85DDE">
        <w:rPr>
          <w:rFonts w:ascii="Arial" w:hAnsi="Arial"/>
        </w:rPr>
        <w:t>os objetivos não foram atingidos na sua totalidade em razão da aplicação de um maior aporte financeiro a alguns programas previstos na LDO</w:t>
      </w:r>
      <w:r w:rsidR="00C85DDE" w:rsidRPr="00C85DDE">
        <w:rPr>
          <w:rFonts w:ascii="Arial" w:hAnsi="Arial"/>
        </w:rPr>
        <w:t xml:space="preserve"> e LOA devido à situação de Calamidade Pública decretada pelo Município, através do Decreto Municipal nº 50/2024, em decorrência dos eventos climáticos de chuvas intensas.</w:t>
      </w:r>
    </w:p>
    <w:p w:rsidR="009C7078" w:rsidRDefault="009C7078" w:rsidP="009C7078">
      <w:pPr>
        <w:pStyle w:val="Recuodecorpodetexto"/>
        <w:spacing w:line="360" w:lineRule="auto"/>
        <w:ind w:firstLine="0"/>
        <w:rPr>
          <w:rFonts w:ascii="Arial" w:hAnsi="Arial"/>
        </w:rPr>
      </w:pPr>
    </w:p>
    <w:p w:rsidR="009C7078" w:rsidRDefault="009C7078" w:rsidP="009C7078">
      <w:pPr>
        <w:pStyle w:val="Recuodecorpodetexto"/>
        <w:numPr>
          <w:ilvl w:val="0"/>
          <w:numId w:val="1"/>
        </w:numPr>
        <w:tabs>
          <w:tab w:val="num" w:pos="-2268"/>
        </w:tabs>
        <w:spacing w:line="360" w:lineRule="auto"/>
        <w:ind w:left="0" w:firstLine="3828"/>
        <w:rPr>
          <w:rFonts w:ascii="Arial" w:hAnsi="Arial"/>
        </w:rPr>
      </w:pPr>
      <w:r>
        <w:rPr>
          <w:rFonts w:ascii="Arial" w:hAnsi="Arial"/>
        </w:rPr>
        <w:t>No que respeita ao atendimento dos limites e condições para realização de operações de crédito e inscrição em restos a pagar, cabem as seguintes considerações:</w:t>
      </w:r>
    </w:p>
    <w:p w:rsidR="009C7078" w:rsidRDefault="009C7078" w:rsidP="009C7078">
      <w:pPr>
        <w:pStyle w:val="Recuodecorpodetexto"/>
        <w:spacing w:line="360" w:lineRule="auto"/>
        <w:ind w:left="3828" w:firstLine="0"/>
        <w:rPr>
          <w:rFonts w:ascii="Arial" w:hAnsi="Arial"/>
        </w:rPr>
      </w:pPr>
    </w:p>
    <w:p w:rsidR="009C7078" w:rsidRDefault="009C7078" w:rsidP="009C7078">
      <w:pPr>
        <w:pStyle w:val="Recuodecorpodetexto"/>
        <w:spacing w:line="360" w:lineRule="auto"/>
        <w:rPr>
          <w:rFonts w:ascii="Arial" w:hAnsi="Arial"/>
        </w:rPr>
      </w:pPr>
    </w:p>
    <w:p w:rsidR="009C7078" w:rsidRDefault="009C7078" w:rsidP="009C7078">
      <w:pPr>
        <w:pStyle w:val="Recuodecorpodetexto"/>
        <w:spacing w:line="360" w:lineRule="auto"/>
        <w:ind w:firstLine="0"/>
        <w:rPr>
          <w:rFonts w:ascii="Arial" w:hAnsi="Arial"/>
          <w:b/>
        </w:rPr>
      </w:pPr>
      <w:r>
        <w:rPr>
          <w:rFonts w:ascii="Arial" w:hAnsi="Arial"/>
          <w:b/>
        </w:rPr>
        <w:t>a)  OPERAÇÕES DE CRÉDITO</w:t>
      </w:r>
    </w:p>
    <w:p w:rsidR="009C7078" w:rsidRDefault="009C7078" w:rsidP="009C7078">
      <w:pPr>
        <w:pStyle w:val="Recuodecorpodetexto"/>
        <w:spacing w:line="360" w:lineRule="auto"/>
        <w:rPr>
          <w:rFonts w:ascii="Arial" w:hAnsi="Arial"/>
        </w:rPr>
      </w:pPr>
      <w:r>
        <w:rPr>
          <w:rFonts w:ascii="Arial" w:hAnsi="Arial"/>
        </w:rPr>
        <w:t>O Município realizou operação de crédito no decorrer do exercício de 2016, junto a Caixa Econômica Federal (Contrato nº 412.370-94) relativo ao Programa Pró-Transporte. O valor total do contrato é de R$ 1.000.000,00 (um milhão de reais) sendo que no decorrer do exercício de 2016 ingressou a importância de R$ 372.195,45 (trezentos e setenta e dois mil, cento e noventa e cinco reais e quarenta e cinco centavos) e no exercício de 2017 ingressou a importância de R$ 515.186,76 (quinhentos e quinze mil, cento e oitenta e seis reais e setenta e seis centavos). Nos exercícios de 2018 e 2019 não houve ingresso de recursos financeiros relativo a Operação de Crédito. Em 2020, ingressou a importância de R$ 112.617,79 (cento e doze mil, seiscentos e dezessete reais e setenta e nove centavos). Nos exercícios de 2021, 2022</w:t>
      </w:r>
      <w:r w:rsidR="00C85DDE">
        <w:rPr>
          <w:rFonts w:ascii="Arial" w:hAnsi="Arial"/>
        </w:rPr>
        <w:t xml:space="preserve">, </w:t>
      </w:r>
      <w:r>
        <w:rPr>
          <w:rFonts w:ascii="Arial" w:hAnsi="Arial"/>
        </w:rPr>
        <w:t>2023</w:t>
      </w:r>
      <w:r w:rsidR="00C85DDE">
        <w:rPr>
          <w:rFonts w:ascii="Arial" w:hAnsi="Arial"/>
        </w:rPr>
        <w:t xml:space="preserve"> e 2024</w:t>
      </w:r>
      <w:r>
        <w:rPr>
          <w:rFonts w:ascii="Arial" w:hAnsi="Arial"/>
        </w:rPr>
        <w:t>, não houve ingresso de recursos relativos a Operação de Crédito, pois o valor contratado já teve seu ingresso na totalidade.</w:t>
      </w:r>
      <w:r w:rsidR="00C85DDE">
        <w:rPr>
          <w:rFonts w:ascii="Arial" w:hAnsi="Arial"/>
        </w:rPr>
        <w:t xml:space="preserve"> </w:t>
      </w:r>
    </w:p>
    <w:p w:rsidR="009C7078" w:rsidRDefault="009C7078" w:rsidP="009C7078">
      <w:pPr>
        <w:pStyle w:val="Recuodecorpodetexto"/>
        <w:spacing w:line="360" w:lineRule="auto"/>
        <w:ind w:firstLine="709"/>
        <w:rPr>
          <w:sz w:val="24"/>
          <w:szCs w:val="24"/>
        </w:rPr>
      </w:pPr>
    </w:p>
    <w:p w:rsidR="009C7078" w:rsidRDefault="009C7078" w:rsidP="009C7078">
      <w:pPr>
        <w:pStyle w:val="Recuodecorpodetexto"/>
        <w:numPr>
          <w:ilvl w:val="0"/>
          <w:numId w:val="2"/>
        </w:numPr>
        <w:tabs>
          <w:tab w:val="num" w:pos="284"/>
        </w:tabs>
        <w:spacing w:line="360" w:lineRule="auto"/>
        <w:ind w:left="284" w:hanging="284"/>
        <w:rPr>
          <w:rFonts w:ascii="Arial" w:hAnsi="Arial" w:cs="Arial"/>
          <w:b/>
        </w:rPr>
      </w:pPr>
      <w:r>
        <w:rPr>
          <w:rFonts w:ascii="Arial" w:hAnsi="Arial" w:cs="Arial"/>
          <w:b/>
        </w:rPr>
        <w:t>OPERAÇÕES DE CRÉDITO POR ANTECIPAÇÃO DE RECEITA (ARO):</w:t>
      </w:r>
    </w:p>
    <w:p w:rsidR="009C7078" w:rsidRDefault="009C7078" w:rsidP="009C7078">
      <w:pPr>
        <w:pStyle w:val="Recuodecorpodetexto"/>
        <w:tabs>
          <w:tab w:val="left" w:pos="3828"/>
        </w:tabs>
        <w:spacing w:line="360" w:lineRule="auto"/>
        <w:ind w:firstLine="3402"/>
        <w:rPr>
          <w:rFonts w:ascii="Arial" w:hAnsi="Arial" w:cs="Arial"/>
        </w:rPr>
      </w:pPr>
      <w:r>
        <w:rPr>
          <w:rFonts w:ascii="Arial" w:hAnsi="Arial" w:cs="Arial"/>
        </w:rPr>
        <w:t xml:space="preserve">        Não foram realizadas operações de crédito por antecipação da receita orçamentária em 202</w:t>
      </w:r>
      <w:r w:rsidR="00C85DDE">
        <w:rPr>
          <w:rFonts w:ascii="Arial" w:hAnsi="Arial" w:cs="Arial"/>
        </w:rPr>
        <w:t>4</w:t>
      </w:r>
      <w:r>
        <w:rPr>
          <w:rFonts w:ascii="Arial" w:hAnsi="Arial" w:cs="Arial"/>
        </w:rPr>
        <w:t xml:space="preserve"> pelo Município de Dona Francisca.</w:t>
      </w:r>
    </w:p>
    <w:p w:rsidR="009C7078" w:rsidRDefault="009C7078" w:rsidP="009C7078">
      <w:pPr>
        <w:pStyle w:val="Recuodecorpodetexto"/>
        <w:spacing w:line="360" w:lineRule="auto"/>
        <w:ind w:firstLine="0"/>
        <w:rPr>
          <w:sz w:val="12"/>
          <w:szCs w:val="12"/>
        </w:rPr>
      </w:pPr>
    </w:p>
    <w:p w:rsidR="009C7078" w:rsidRDefault="009C7078" w:rsidP="009C7078">
      <w:pPr>
        <w:pStyle w:val="Recuodecorpodetexto"/>
        <w:spacing w:line="360" w:lineRule="auto"/>
        <w:ind w:firstLine="0"/>
        <w:rPr>
          <w:sz w:val="12"/>
          <w:szCs w:val="12"/>
        </w:rPr>
      </w:pPr>
    </w:p>
    <w:p w:rsidR="009C7078" w:rsidRDefault="009C7078" w:rsidP="009C7078">
      <w:pPr>
        <w:pStyle w:val="Recuodecorpodetexto"/>
        <w:numPr>
          <w:ilvl w:val="0"/>
          <w:numId w:val="2"/>
        </w:numPr>
        <w:tabs>
          <w:tab w:val="num" w:pos="284"/>
        </w:tabs>
        <w:spacing w:line="360" w:lineRule="auto"/>
        <w:ind w:hanging="720"/>
        <w:rPr>
          <w:rFonts w:ascii="Arial" w:hAnsi="Arial" w:cs="Arial"/>
          <w:b/>
        </w:rPr>
      </w:pPr>
      <w:r>
        <w:rPr>
          <w:rFonts w:ascii="Arial" w:hAnsi="Arial" w:cs="Arial"/>
          <w:b/>
        </w:rPr>
        <w:t>RESTOS A PAGAR:</w:t>
      </w:r>
    </w:p>
    <w:p w:rsidR="009C7078" w:rsidRDefault="009C7078" w:rsidP="009C7078">
      <w:pPr>
        <w:pStyle w:val="Recuodecorpodetexto"/>
        <w:spacing w:line="360" w:lineRule="auto"/>
        <w:ind w:firstLine="709"/>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Quanto aos restos a pagar, verificou-se que o balancete da despesa emitido em 31/12/202</w:t>
      </w:r>
      <w:r w:rsidR="00C85DDE">
        <w:rPr>
          <w:rFonts w:ascii="Arial" w:hAnsi="Arial" w:cs="Arial"/>
        </w:rPr>
        <w:t>4</w:t>
      </w:r>
      <w:r>
        <w:rPr>
          <w:rFonts w:ascii="Arial" w:hAnsi="Arial" w:cs="Arial"/>
        </w:rPr>
        <w:t xml:space="preserve"> revela que o total de empenhos liquidados a pagar relativos às Unidades Gestoras da Prefeitura Municipal e RPPS foi de R$ </w:t>
      </w:r>
      <w:r w:rsidR="00C85DDE">
        <w:rPr>
          <w:rFonts w:ascii="Arial" w:hAnsi="Arial" w:cs="Arial"/>
        </w:rPr>
        <w:t>825.169,40</w:t>
      </w:r>
      <w:r>
        <w:rPr>
          <w:rFonts w:ascii="Arial" w:hAnsi="Arial" w:cs="Arial"/>
        </w:rPr>
        <w:t xml:space="preserve"> (</w:t>
      </w:r>
      <w:r w:rsidR="00C85DDE">
        <w:rPr>
          <w:rFonts w:ascii="Arial" w:hAnsi="Arial" w:cs="Arial"/>
        </w:rPr>
        <w:t>oitocentos e vinte e cinco mil, cento e sessenta e nove reais e quarenta centavos</w:t>
      </w:r>
      <w:r>
        <w:rPr>
          <w:rFonts w:ascii="Arial" w:hAnsi="Arial" w:cs="Arial"/>
        </w:rPr>
        <w:t xml:space="preserve">), que, acrescido dos restos a pagar processados de outros exercícios, no valor de R$ </w:t>
      </w:r>
      <w:r w:rsidR="00C85DDE">
        <w:rPr>
          <w:rFonts w:ascii="Arial" w:hAnsi="Arial" w:cs="Arial"/>
        </w:rPr>
        <w:t>29.438,18</w:t>
      </w:r>
      <w:r>
        <w:rPr>
          <w:rFonts w:ascii="Arial" w:hAnsi="Arial" w:cs="Arial"/>
        </w:rPr>
        <w:t xml:space="preserve"> (</w:t>
      </w:r>
      <w:r w:rsidR="00C85DDE">
        <w:rPr>
          <w:rFonts w:ascii="Arial" w:hAnsi="Arial" w:cs="Arial"/>
        </w:rPr>
        <w:t>vinte e nove mil, quatrocentos e trinta e oito reais e dezoito centavos</w:t>
      </w:r>
      <w:r>
        <w:rPr>
          <w:rFonts w:ascii="Arial" w:hAnsi="Arial" w:cs="Arial"/>
        </w:rPr>
        <w:t xml:space="preserve">), totaliza a importância de R$ </w:t>
      </w:r>
      <w:r w:rsidR="00F14EFE">
        <w:rPr>
          <w:rFonts w:ascii="Arial" w:hAnsi="Arial" w:cs="Arial"/>
        </w:rPr>
        <w:t>854.607,58</w:t>
      </w:r>
      <w:r>
        <w:rPr>
          <w:rFonts w:ascii="Arial" w:hAnsi="Arial" w:cs="Arial"/>
        </w:rPr>
        <w:t xml:space="preserve"> (</w:t>
      </w:r>
      <w:r w:rsidR="00F14EFE">
        <w:rPr>
          <w:rFonts w:ascii="Arial" w:hAnsi="Arial" w:cs="Arial"/>
        </w:rPr>
        <w:t>oitocentos e cinqüenta e quatro mil, seiscentos e sete reais e cinqüenta e oito centavos</w:t>
      </w:r>
      <w:r>
        <w:rPr>
          <w:rFonts w:ascii="Arial" w:hAnsi="Arial" w:cs="Arial"/>
        </w:rPr>
        <w:t xml:space="preserve">). Verificou-se, também, que o Município possui empenhos a liquidar no valor de R$ </w:t>
      </w:r>
      <w:r w:rsidR="00F14EFE">
        <w:rPr>
          <w:rFonts w:ascii="Arial" w:hAnsi="Arial" w:cs="Arial"/>
        </w:rPr>
        <w:t>1.889.007,42</w:t>
      </w:r>
      <w:r>
        <w:rPr>
          <w:rFonts w:ascii="Arial" w:hAnsi="Arial" w:cs="Arial"/>
        </w:rPr>
        <w:t xml:space="preserve"> (</w:t>
      </w:r>
      <w:r w:rsidR="00F14EFE">
        <w:rPr>
          <w:rFonts w:ascii="Arial" w:hAnsi="Arial" w:cs="Arial"/>
        </w:rPr>
        <w:t>hum milhão, oitocentos e oitenta e nove mil, sete reais e quarenta e dois centavos</w:t>
      </w:r>
      <w:r>
        <w:rPr>
          <w:rFonts w:ascii="Arial" w:hAnsi="Arial" w:cs="Arial"/>
        </w:rPr>
        <w:t xml:space="preserve">), que acrescido dos restos a pagar não processados de outros exercícios, no valor de R$ </w:t>
      </w:r>
      <w:r w:rsidR="00F14EFE">
        <w:rPr>
          <w:rFonts w:ascii="Arial" w:hAnsi="Arial" w:cs="Arial"/>
        </w:rPr>
        <w:t>81.050,96</w:t>
      </w:r>
      <w:r>
        <w:rPr>
          <w:rFonts w:ascii="Arial" w:hAnsi="Arial" w:cs="Arial"/>
        </w:rPr>
        <w:t xml:space="preserve"> (</w:t>
      </w:r>
      <w:r w:rsidR="00F14EFE">
        <w:rPr>
          <w:rFonts w:ascii="Arial" w:hAnsi="Arial" w:cs="Arial"/>
        </w:rPr>
        <w:t>oitenta e um mil, cinqüenta reais e noventa e seis centavos</w:t>
      </w:r>
      <w:r>
        <w:rPr>
          <w:rFonts w:ascii="Arial" w:hAnsi="Arial" w:cs="Arial"/>
        </w:rPr>
        <w:t xml:space="preserve">), totaliza R$ </w:t>
      </w:r>
      <w:r w:rsidR="00F14EFE">
        <w:rPr>
          <w:rFonts w:ascii="Arial" w:hAnsi="Arial" w:cs="Arial"/>
        </w:rPr>
        <w:t>1.970.058,38</w:t>
      </w:r>
      <w:r>
        <w:rPr>
          <w:rFonts w:ascii="Arial" w:hAnsi="Arial" w:cs="Arial"/>
        </w:rPr>
        <w:t xml:space="preserve"> (</w:t>
      </w:r>
      <w:r w:rsidR="00F14EFE">
        <w:rPr>
          <w:rFonts w:ascii="Arial" w:hAnsi="Arial" w:cs="Arial"/>
        </w:rPr>
        <w:t>hum milhão, novecentos e setenta mil, cinqüenta e oito reais e trinta e oito centavos</w:t>
      </w:r>
      <w:r>
        <w:rPr>
          <w:rFonts w:ascii="Arial" w:hAnsi="Arial" w:cs="Arial"/>
        </w:rPr>
        <w:t xml:space="preserve">). Considerando o exposto, os Restos a Pagar do Município, transferidos para o próximo exercício, totaliza a importância de R$ </w:t>
      </w:r>
      <w:r w:rsidR="00F14EFE">
        <w:rPr>
          <w:rFonts w:ascii="Arial" w:hAnsi="Arial" w:cs="Arial"/>
        </w:rPr>
        <w:t>2.824.665,96</w:t>
      </w:r>
      <w:r>
        <w:rPr>
          <w:rFonts w:ascii="Arial" w:hAnsi="Arial" w:cs="Arial"/>
        </w:rPr>
        <w:t>. Confrontando-se tais empenhos com as disponibilidades de caixa verificada em 31/12/202</w:t>
      </w:r>
      <w:r w:rsidR="00F14EFE">
        <w:rPr>
          <w:rFonts w:ascii="Arial" w:hAnsi="Arial" w:cs="Arial"/>
        </w:rPr>
        <w:t>4</w:t>
      </w:r>
      <w:r>
        <w:rPr>
          <w:rFonts w:ascii="Arial" w:hAnsi="Arial" w:cs="Arial"/>
        </w:rPr>
        <w:t xml:space="preserve">, respeitando as fontes de recursos correspondentes, verifica-se a suficiência financeira para cobertura de empenhos inscritos em restos a pagar em todos recursos vinculados. </w:t>
      </w:r>
    </w:p>
    <w:p w:rsidR="009C7078" w:rsidRDefault="009C7078" w:rsidP="009C7078">
      <w:pPr>
        <w:pStyle w:val="Recuodecorpodetexto"/>
        <w:spacing w:line="360" w:lineRule="auto"/>
        <w:rPr>
          <w:sz w:val="24"/>
          <w:szCs w:val="24"/>
        </w:rPr>
      </w:pPr>
    </w:p>
    <w:p w:rsidR="009C7078" w:rsidRDefault="009C7078" w:rsidP="009C7078">
      <w:pPr>
        <w:pStyle w:val="Recuodecorpodetexto"/>
        <w:spacing w:line="360" w:lineRule="auto"/>
        <w:ind w:firstLine="3402"/>
        <w:rPr>
          <w:rFonts w:ascii="Arial" w:hAnsi="Arial" w:cs="Arial"/>
        </w:rPr>
      </w:pPr>
      <w:r>
        <w:rPr>
          <w:rFonts w:ascii="Arial" w:hAnsi="Arial" w:cs="Arial"/>
        </w:rPr>
        <w:t xml:space="preserve">5. No tocante à despesa total com pessoal, de que tratam os arts. </w:t>
      </w:r>
      <w:smartTag w:uri="urn:schemas-microsoft-com:office:smarttags" w:element="metricconverter">
        <w:smartTagPr>
          <w:attr w:name="ProductID" w:val="18 a"/>
        </w:smartTagPr>
        <w:r>
          <w:rPr>
            <w:rFonts w:ascii="Arial" w:hAnsi="Arial" w:cs="Arial"/>
          </w:rPr>
          <w:t>18 a</w:t>
        </w:r>
      </w:smartTag>
      <w:r>
        <w:rPr>
          <w:rFonts w:ascii="Arial" w:hAnsi="Arial" w:cs="Arial"/>
        </w:rPr>
        <w:t xml:space="preserve"> 23 da Lei Complementar n.º 101/2000, cabem as seguintes considerações:</w:t>
      </w:r>
    </w:p>
    <w:p w:rsidR="009C7078" w:rsidRDefault="009C7078" w:rsidP="009C7078">
      <w:pPr>
        <w:pStyle w:val="Recuodecorpodetexto"/>
        <w:spacing w:line="360" w:lineRule="auto"/>
        <w:ind w:firstLine="3402"/>
        <w:rPr>
          <w:rFonts w:ascii="Arial" w:hAnsi="Arial" w:cs="Arial"/>
        </w:rPr>
      </w:pPr>
    </w:p>
    <w:p w:rsidR="009C7078" w:rsidRDefault="009C7078" w:rsidP="009C7078">
      <w:pPr>
        <w:pStyle w:val="Recuodecorpodetexto"/>
        <w:spacing w:line="360" w:lineRule="auto"/>
        <w:ind w:firstLine="0"/>
        <w:jc w:val="center"/>
        <w:rPr>
          <w:b/>
          <w:sz w:val="24"/>
          <w:szCs w:val="24"/>
        </w:rPr>
      </w:pPr>
    </w:p>
    <w:p w:rsidR="009C7078" w:rsidRDefault="009C7078" w:rsidP="009C7078">
      <w:pPr>
        <w:pStyle w:val="Recuodecorpodetexto"/>
        <w:spacing w:line="360" w:lineRule="auto"/>
        <w:ind w:firstLine="0"/>
        <w:jc w:val="center"/>
        <w:rPr>
          <w:b/>
          <w:sz w:val="24"/>
          <w:szCs w:val="24"/>
        </w:rPr>
      </w:pPr>
      <w:r>
        <w:rPr>
          <w:b/>
          <w:sz w:val="24"/>
          <w:szCs w:val="24"/>
        </w:rPr>
        <w:t>DESPESAS COM PESSOAL DO PODER EXECUTIVO</w:t>
      </w:r>
    </w:p>
    <w:tbl>
      <w:tblPr>
        <w:tblW w:w="949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7701"/>
        <w:gridCol w:w="1795"/>
      </w:tblGrid>
      <w:tr w:rsidR="00F14EFE" w:rsidRPr="00873019" w:rsidTr="00F14EFE">
        <w:tc>
          <w:tcPr>
            <w:tcW w:w="7701" w:type="dxa"/>
          </w:tcPr>
          <w:p w:rsidR="00F14EFE" w:rsidRPr="00873019" w:rsidRDefault="00F14EFE" w:rsidP="002A3CA2">
            <w:pPr>
              <w:spacing w:line="360" w:lineRule="auto"/>
              <w:jc w:val="center"/>
              <w:rPr>
                <w:b/>
                <w:sz w:val="24"/>
                <w:szCs w:val="24"/>
              </w:rPr>
            </w:pPr>
            <w:r w:rsidRPr="00873019">
              <w:rPr>
                <w:b/>
                <w:sz w:val="24"/>
                <w:szCs w:val="24"/>
              </w:rPr>
              <w:t>ESPECIFICAÇÃO</w:t>
            </w:r>
          </w:p>
        </w:tc>
        <w:tc>
          <w:tcPr>
            <w:tcW w:w="1795" w:type="dxa"/>
          </w:tcPr>
          <w:p w:rsidR="00F14EFE" w:rsidRPr="00873019" w:rsidRDefault="00F14EFE" w:rsidP="002A3CA2">
            <w:pPr>
              <w:spacing w:line="360" w:lineRule="auto"/>
              <w:jc w:val="center"/>
              <w:rPr>
                <w:b/>
                <w:sz w:val="24"/>
                <w:szCs w:val="24"/>
              </w:rPr>
            </w:pPr>
            <w:r w:rsidRPr="00873019">
              <w:rPr>
                <w:b/>
                <w:sz w:val="24"/>
                <w:szCs w:val="24"/>
              </w:rPr>
              <w:t>VALOR</w:t>
            </w:r>
          </w:p>
        </w:tc>
      </w:tr>
      <w:tr w:rsidR="00F14EFE" w:rsidRPr="00873019" w:rsidTr="00F14EFE">
        <w:tc>
          <w:tcPr>
            <w:tcW w:w="7701" w:type="dxa"/>
          </w:tcPr>
          <w:p w:rsidR="00F14EFE" w:rsidRPr="00873019" w:rsidRDefault="00F14EFE" w:rsidP="002A3CA2">
            <w:pPr>
              <w:spacing w:line="360" w:lineRule="auto"/>
              <w:jc w:val="both"/>
              <w:rPr>
                <w:sz w:val="24"/>
                <w:szCs w:val="24"/>
              </w:rPr>
            </w:pPr>
            <w:r w:rsidRPr="00873019">
              <w:rPr>
                <w:sz w:val="24"/>
                <w:szCs w:val="24"/>
              </w:rPr>
              <w:t xml:space="preserve">RECEITA CORRENTE LÍQUIDA                     </w:t>
            </w:r>
          </w:p>
        </w:tc>
        <w:tc>
          <w:tcPr>
            <w:tcW w:w="1795" w:type="dxa"/>
          </w:tcPr>
          <w:p w:rsidR="00F14EFE" w:rsidRPr="00873019" w:rsidRDefault="00F14EFE" w:rsidP="002A3CA2">
            <w:pPr>
              <w:spacing w:line="360" w:lineRule="auto"/>
              <w:jc w:val="right"/>
              <w:rPr>
                <w:sz w:val="24"/>
                <w:szCs w:val="24"/>
              </w:rPr>
            </w:pPr>
            <w:r w:rsidRPr="00873019">
              <w:rPr>
                <w:sz w:val="24"/>
                <w:szCs w:val="24"/>
              </w:rPr>
              <w:t>2</w:t>
            </w:r>
            <w:r>
              <w:rPr>
                <w:sz w:val="24"/>
                <w:szCs w:val="24"/>
              </w:rPr>
              <w:t>7.555.613,54</w:t>
            </w:r>
          </w:p>
        </w:tc>
      </w:tr>
      <w:tr w:rsidR="00F14EFE" w:rsidRPr="00873019" w:rsidTr="00F14EFE">
        <w:tc>
          <w:tcPr>
            <w:tcW w:w="7701" w:type="dxa"/>
          </w:tcPr>
          <w:p w:rsidR="00F14EFE" w:rsidRPr="00873019" w:rsidRDefault="00F14EFE" w:rsidP="002A3CA2">
            <w:pPr>
              <w:spacing w:line="360" w:lineRule="auto"/>
              <w:jc w:val="both"/>
              <w:rPr>
                <w:sz w:val="24"/>
                <w:szCs w:val="24"/>
              </w:rPr>
            </w:pPr>
            <w:r w:rsidRPr="00873019">
              <w:rPr>
                <w:sz w:val="24"/>
                <w:szCs w:val="24"/>
              </w:rPr>
              <w:t xml:space="preserve">DESPESA LIQUIDA COM PESSOAL                         </w:t>
            </w:r>
          </w:p>
        </w:tc>
        <w:tc>
          <w:tcPr>
            <w:tcW w:w="1795" w:type="dxa"/>
          </w:tcPr>
          <w:p w:rsidR="00F14EFE" w:rsidRPr="00873019" w:rsidRDefault="00F14EFE" w:rsidP="002A3CA2">
            <w:pPr>
              <w:spacing w:line="360" w:lineRule="auto"/>
              <w:jc w:val="right"/>
              <w:rPr>
                <w:sz w:val="24"/>
                <w:szCs w:val="24"/>
              </w:rPr>
            </w:pPr>
            <w:r>
              <w:rPr>
                <w:sz w:val="24"/>
                <w:szCs w:val="24"/>
              </w:rPr>
              <w:t>10.666.148,48</w:t>
            </w:r>
          </w:p>
        </w:tc>
      </w:tr>
      <w:tr w:rsidR="00F14EFE" w:rsidRPr="00873019" w:rsidTr="00F14EFE">
        <w:tc>
          <w:tcPr>
            <w:tcW w:w="7701" w:type="dxa"/>
          </w:tcPr>
          <w:p w:rsidR="00F14EFE" w:rsidRPr="00873019" w:rsidRDefault="00F14EFE" w:rsidP="002A3CA2">
            <w:pPr>
              <w:spacing w:line="360" w:lineRule="auto"/>
              <w:jc w:val="both"/>
              <w:rPr>
                <w:sz w:val="24"/>
                <w:szCs w:val="24"/>
              </w:rPr>
            </w:pPr>
            <w:r w:rsidRPr="00873019">
              <w:rPr>
                <w:sz w:val="24"/>
                <w:szCs w:val="24"/>
              </w:rPr>
              <w:t>% SOBRE A RCL</w:t>
            </w:r>
          </w:p>
        </w:tc>
        <w:tc>
          <w:tcPr>
            <w:tcW w:w="1795" w:type="dxa"/>
          </w:tcPr>
          <w:p w:rsidR="00F14EFE" w:rsidRPr="00873019" w:rsidRDefault="00F14EFE" w:rsidP="002A3CA2">
            <w:pPr>
              <w:spacing w:line="360" w:lineRule="auto"/>
              <w:jc w:val="right"/>
              <w:rPr>
                <w:sz w:val="24"/>
                <w:szCs w:val="24"/>
              </w:rPr>
            </w:pPr>
            <w:r>
              <w:rPr>
                <w:sz w:val="24"/>
                <w:szCs w:val="24"/>
              </w:rPr>
              <w:t>38,71%</w:t>
            </w:r>
          </w:p>
        </w:tc>
      </w:tr>
    </w:tbl>
    <w:p w:rsidR="009C7078" w:rsidRDefault="009C7078" w:rsidP="009C7078">
      <w:pPr>
        <w:pStyle w:val="Recuodecorpodetexto"/>
        <w:spacing w:line="360" w:lineRule="auto"/>
        <w:ind w:firstLine="0"/>
        <w:rPr>
          <w:sz w:val="24"/>
          <w:szCs w:val="24"/>
        </w:rPr>
      </w:pPr>
    </w:p>
    <w:p w:rsidR="00F14EFE" w:rsidRDefault="009C7078" w:rsidP="009C7078">
      <w:pPr>
        <w:pStyle w:val="Recuodecorpodetexto"/>
        <w:spacing w:line="360" w:lineRule="auto"/>
        <w:ind w:firstLine="709"/>
        <w:rPr>
          <w:rFonts w:ascii="Arial" w:hAnsi="Arial" w:cs="Arial"/>
        </w:rPr>
      </w:pPr>
      <w:r>
        <w:rPr>
          <w:rFonts w:ascii="Arial" w:hAnsi="Arial" w:cs="Arial"/>
        </w:rPr>
        <w:t>Verifica-se que o limite de despesa com pessoal no exercício de 202</w:t>
      </w:r>
      <w:r w:rsidR="00F14EFE">
        <w:rPr>
          <w:rFonts w:ascii="Arial" w:hAnsi="Arial" w:cs="Arial"/>
        </w:rPr>
        <w:t>4</w:t>
      </w:r>
      <w:r>
        <w:rPr>
          <w:rFonts w:ascii="Arial" w:hAnsi="Arial" w:cs="Arial"/>
        </w:rPr>
        <w:t xml:space="preserve">, calculado de acordo com a metodologia do Tribunal de Contas do Estado do Rio Grande do Sul, </w:t>
      </w:r>
      <w:r w:rsidR="00F14EFE">
        <w:rPr>
          <w:rFonts w:ascii="Arial" w:hAnsi="Arial" w:cs="Arial"/>
        </w:rPr>
        <w:t>atingiu o percentual de 38,71%.</w:t>
      </w:r>
    </w:p>
    <w:p w:rsidR="009C7078" w:rsidRDefault="009C7078" w:rsidP="009C7078">
      <w:pPr>
        <w:pStyle w:val="Recuodecorpodetexto"/>
        <w:spacing w:line="360" w:lineRule="auto"/>
        <w:ind w:firstLine="709"/>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 xml:space="preserve">6. A dívida consolidada líquida do município apresenta uma situação </w:t>
      </w:r>
      <w:r>
        <w:rPr>
          <w:rFonts w:ascii="Arial" w:hAnsi="Arial" w:cs="Arial"/>
          <w:b/>
        </w:rPr>
        <w:t>nula</w:t>
      </w:r>
      <w:r>
        <w:rPr>
          <w:rFonts w:ascii="Arial" w:hAnsi="Arial" w:cs="Arial"/>
        </w:rPr>
        <w:t xml:space="preserve"> em 31 de dezembro de 202</w:t>
      </w:r>
      <w:r w:rsidR="00F14EFE">
        <w:rPr>
          <w:rFonts w:ascii="Arial" w:hAnsi="Arial" w:cs="Arial"/>
        </w:rPr>
        <w:t>4</w:t>
      </w:r>
      <w:r>
        <w:rPr>
          <w:rFonts w:ascii="Arial" w:hAnsi="Arial" w:cs="Arial"/>
        </w:rPr>
        <w:t>, atendendo ao disposto na Resolução n.º 43/2001 do Senado Federal.</w:t>
      </w:r>
    </w:p>
    <w:p w:rsidR="009C7078" w:rsidRDefault="009C7078" w:rsidP="009C7078">
      <w:pPr>
        <w:pStyle w:val="Recuodecorpodetexto"/>
        <w:spacing w:line="360" w:lineRule="auto"/>
        <w:ind w:firstLine="3402"/>
        <w:rPr>
          <w:sz w:val="24"/>
          <w:szCs w:val="24"/>
        </w:rPr>
      </w:pPr>
    </w:p>
    <w:p w:rsidR="009C7078" w:rsidRDefault="009C7078" w:rsidP="009C7078">
      <w:pPr>
        <w:pStyle w:val="Recuodecorpodetexto"/>
        <w:spacing w:line="360" w:lineRule="auto"/>
        <w:ind w:firstLine="0"/>
        <w:jc w:val="center"/>
        <w:rPr>
          <w:b/>
          <w:sz w:val="24"/>
          <w:szCs w:val="24"/>
        </w:rPr>
      </w:pPr>
      <w:r>
        <w:rPr>
          <w:b/>
          <w:sz w:val="24"/>
          <w:szCs w:val="24"/>
        </w:rPr>
        <w:t>DÍVIDA CONSOLIDADA LÍQUIDA</w:t>
      </w:r>
    </w:p>
    <w:tbl>
      <w:tblPr>
        <w:tblW w:w="9645"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tblPr>
      <w:tblGrid>
        <w:gridCol w:w="5816"/>
        <w:gridCol w:w="3829"/>
      </w:tblGrid>
      <w:tr w:rsidR="009C7078" w:rsidTr="009C7078">
        <w:tc>
          <w:tcPr>
            <w:tcW w:w="5812" w:type="dxa"/>
            <w:tcBorders>
              <w:top w:val="single" w:sz="18" w:space="0" w:color="auto"/>
              <w:left w:val="single" w:sz="18" w:space="0" w:color="auto"/>
              <w:bottom w:val="single" w:sz="6" w:space="0" w:color="auto"/>
              <w:right w:val="single" w:sz="6" w:space="0" w:color="auto"/>
            </w:tcBorders>
            <w:vAlign w:val="center"/>
            <w:hideMark/>
          </w:tcPr>
          <w:p w:rsidR="009C7078" w:rsidRDefault="009C7078">
            <w:pPr>
              <w:spacing w:line="360" w:lineRule="auto"/>
              <w:rPr>
                <w:sz w:val="24"/>
                <w:szCs w:val="24"/>
              </w:rPr>
            </w:pPr>
            <w:r>
              <w:rPr>
                <w:sz w:val="24"/>
                <w:szCs w:val="24"/>
              </w:rPr>
              <w:t>Receita Corrente Líquida RCL - ajustada</w:t>
            </w:r>
          </w:p>
        </w:tc>
        <w:tc>
          <w:tcPr>
            <w:tcW w:w="3827" w:type="dxa"/>
            <w:tcBorders>
              <w:top w:val="single" w:sz="18" w:space="0" w:color="auto"/>
              <w:left w:val="single" w:sz="6" w:space="0" w:color="auto"/>
              <w:bottom w:val="single" w:sz="6" w:space="0" w:color="auto"/>
              <w:right w:val="single" w:sz="18" w:space="0" w:color="auto"/>
            </w:tcBorders>
            <w:vAlign w:val="center"/>
            <w:hideMark/>
          </w:tcPr>
          <w:p w:rsidR="009C7078" w:rsidRDefault="009C7078" w:rsidP="00914193">
            <w:pPr>
              <w:spacing w:line="360" w:lineRule="auto"/>
              <w:rPr>
                <w:sz w:val="24"/>
                <w:szCs w:val="24"/>
              </w:rPr>
            </w:pPr>
            <w:r>
              <w:rPr>
                <w:sz w:val="24"/>
                <w:szCs w:val="24"/>
              </w:rPr>
              <w:t>R$  2</w:t>
            </w:r>
            <w:r w:rsidR="00914193">
              <w:rPr>
                <w:sz w:val="24"/>
                <w:szCs w:val="24"/>
              </w:rPr>
              <w:t>7.815.105,54</w:t>
            </w:r>
          </w:p>
        </w:tc>
      </w:tr>
      <w:tr w:rsidR="009C7078" w:rsidTr="009C7078">
        <w:tc>
          <w:tcPr>
            <w:tcW w:w="5812" w:type="dxa"/>
            <w:tcBorders>
              <w:top w:val="single" w:sz="6" w:space="0" w:color="auto"/>
              <w:left w:val="single" w:sz="18" w:space="0" w:color="auto"/>
              <w:bottom w:val="single" w:sz="6" w:space="0" w:color="auto"/>
              <w:right w:val="single" w:sz="6" w:space="0" w:color="auto"/>
            </w:tcBorders>
            <w:vAlign w:val="center"/>
            <w:hideMark/>
          </w:tcPr>
          <w:p w:rsidR="009C7078" w:rsidRDefault="009C7078">
            <w:pPr>
              <w:spacing w:line="360" w:lineRule="auto"/>
              <w:rPr>
                <w:sz w:val="24"/>
                <w:szCs w:val="24"/>
              </w:rPr>
            </w:pPr>
            <w:r>
              <w:rPr>
                <w:sz w:val="24"/>
                <w:szCs w:val="24"/>
              </w:rPr>
              <w:t xml:space="preserve">Dívida Consolidada Liquida </w:t>
            </w:r>
          </w:p>
        </w:tc>
        <w:tc>
          <w:tcPr>
            <w:tcW w:w="3827" w:type="dxa"/>
            <w:tcBorders>
              <w:top w:val="single" w:sz="6" w:space="0" w:color="auto"/>
              <w:left w:val="single" w:sz="6" w:space="0" w:color="auto"/>
              <w:bottom w:val="single" w:sz="6" w:space="0" w:color="auto"/>
              <w:right w:val="single" w:sz="18" w:space="0" w:color="auto"/>
            </w:tcBorders>
            <w:vAlign w:val="center"/>
            <w:hideMark/>
          </w:tcPr>
          <w:p w:rsidR="009C7078" w:rsidRDefault="009C7078">
            <w:pPr>
              <w:spacing w:line="360" w:lineRule="auto"/>
              <w:rPr>
                <w:sz w:val="24"/>
                <w:szCs w:val="24"/>
              </w:rPr>
            </w:pPr>
            <w:r>
              <w:rPr>
                <w:sz w:val="24"/>
                <w:szCs w:val="24"/>
              </w:rPr>
              <w:t xml:space="preserve">                       0,00</w:t>
            </w:r>
          </w:p>
        </w:tc>
      </w:tr>
      <w:tr w:rsidR="009C7078" w:rsidTr="009C7078">
        <w:tc>
          <w:tcPr>
            <w:tcW w:w="5812" w:type="dxa"/>
            <w:tcBorders>
              <w:top w:val="single" w:sz="6" w:space="0" w:color="auto"/>
              <w:left w:val="single" w:sz="18" w:space="0" w:color="auto"/>
              <w:bottom w:val="single" w:sz="6" w:space="0" w:color="auto"/>
              <w:right w:val="single" w:sz="6" w:space="0" w:color="auto"/>
            </w:tcBorders>
            <w:vAlign w:val="center"/>
            <w:hideMark/>
          </w:tcPr>
          <w:p w:rsidR="009C7078" w:rsidRDefault="009C7078">
            <w:pPr>
              <w:spacing w:line="360" w:lineRule="auto"/>
              <w:rPr>
                <w:sz w:val="24"/>
                <w:szCs w:val="24"/>
              </w:rPr>
            </w:pPr>
            <w:r>
              <w:rPr>
                <w:sz w:val="24"/>
                <w:szCs w:val="24"/>
              </w:rPr>
              <w:t>Limite de emissão de alerta cfe art. 59, § 1º, III da LRF</w:t>
            </w:r>
          </w:p>
        </w:tc>
        <w:tc>
          <w:tcPr>
            <w:tcW w:w="3827" w:type="dxa"/>
            <w:tcBorders>
              <w:top w:val="single" w:sz="6" w:space="0" w:color="auto"/>
              <w:left w:val="single" w:sz="6" w:space="0" w:color="auto"/>
              <w:bottom w:val="single" w:sz="6" w:space="0" w:color="auto"/>
              <w:right w:val="single" w:sz="18" w:space="0" w:color="auto"/>
            </w:tcBorders>
            <w:vAlign w:val="center"/>
            <w:hideMark/>
          </w:tcPr>
          <w:p w:rsidR="009C7078" w:rsidRDefault="009C7078" w:rsidP="00914193">
            <w:pPr>
              <w:spacing w:line="360" w:lineRule="auto"/>
              <w:rPr>
                <w:sz w:val="24"/>
                <w:szCs w:val="24"/>
              </w:rPr>
            </w:pPr>
            <w:r>
              <w:rPr>
                <w:sz w:val="24"/>
                <w:szCs w:val="24"/>
              </w:rPr>
              <w:t xml:space="preserve">       </w:t>
            </w:r>
            <w:r w:rsidR="00914193">
              <w:rPr>
                <w:sz w:val="24"/>
                <w:szCs w:val="24"/>
              </w:rPr>
              <w:t>30.040.313,98</w:t>
            </w:r>
            <w:r>
              <w:rPr>
                <w:sz w:val="24"/>
                <w:szCs w:val="24"/>
              </w:rPr>
              <w:t xml:space="preserve">             = 108,00%</w:t>
            </w:r>
          </w:p>
        </w:tc>
      </w:tr>
      <w:tr w:rsidR="009C7078" w:rsidTr="009C7078">
        <w:tc>
          <w:tcPr>
            <w:tcW w:w="5812" w:type="dxa"/>
            <w:tcBorders>
              <w:top w:val="single" w:sz="6" w:space="0" w:color="auto"/>
              <w:left w:val="single" w:sz="18" w:space="0" w:color="auto"/>
              <w:bottom w:val="single" w:sz="18" w:space="0" w:color="auto"/>
              <w:right w:val="single" w:sz="6" w:space="0" w:color="auto"/>
            </w:tcBorders>
            <w:vAlign w:val="center"/>
            <w:hideMark/>
          </w:tcPr>
          <w:p w:rsidR="009C7078" w:rsidRDefault="009C7078">
            <w:pPr>
              <w:spacing w:line="360" w:lineRule="auto"/>
              <w:rPr>
                <w:sz w:val="24"/>
                <w:szCs w:val="24"/>
              </w:rPr>
            </w:pPr>
            <w:r>
              <w:rPr>
                <w:sz w:val="24"/>
                <w:szCs w:val="24"/>
              </w:rPr>
              <w:t>Limite legal cfe art. 3º, II da Resolução 40/2001</w:t>
            </w:r>
          </w:p>
        </w:tc>
        <w:tc>
          <w:tcPr>
            <w:tcW w:w="3827" w:type="dxa"/>
            <w:tcBorders>
              <w:top w:val="single" w:sz="6" w:space="0" w:color="auto"/>
              <w:left w:val="single" w:sz="6" w:space="0" w:color="auto"/>
              <w:bottom w:val="single" w:sz="18" w:space="0" w:color="auto"/>
              <w:right w:val="single" w:sz="18" w:space="0" w:color="auto"/>
            </w:tcBorders>
            <w:vAlign w:val="center"/>
            <w:hideMark/>
          </w:tcPr>
          <w:p w:rsidR="009C7078" w:rsidRDefault="009C7078" w:rsidP="00914193">
            <w:pPr>
              <w:tabs>
                <w:tab w:val="left" w:pos="572"/>
                <w:tab w:val="left" w:pos="714"/>
              </w:tabs>
              <w:spacing w:line="360" w:lineRule="auto"/>
              <w:jc w:val="center"/>
              <w:rPr>
                <w:sz w:val="24"/>
                <w:szCs w:val="24"/>
              </w:rPr>
            </w:pPr>
            <w:r>
              <w:rPr>
                <w:sz w:val="24"/>
                <w:szCs w:val="24"/>
              </w:rPr>
              <w:t xml:space="preserve">      2</w:t>
            </w:r>
            <w:r w:rsidR="00914193">
              <w:rPr>
                <w:sz w:val="24"/>
                <w:szCs w:val="24"/>
              </w:rPr>
              <w:t>3.378.126,65</w:t>
            </w:r>
            <w:r>
              <w:rPr>
                <w:sz w:val="24"/>
                <w:szCs w:val="24"/>
              </w:rPr>
              <w:t xml:space="preserve">             = 120,00%</w:t>
            </w:r>
          </w:p>
        </w:tc>
      </w:tr>
    </w:tbl>
    <w:p w:rsidR="009C7078" w:rsidRDefault="009C7078" w:rsidP="009C7078">
      <w:pPr>
        <w:pStyle w:val="Recuodecorpodetexto"/>
        <w:spacing w:line="360" w:lineRule="auto"/>
        <w:ind w:firstLine="3402"/>
        <w:rPr>
          <w:color w:val="008080"/>
          <w:sz w:val="24"/>
          <w:szCs w:val="24"/>
        </w:rPr>
      </w:pPr>
    </w:p>
    <w:p w:rsidR="009C7078" w:rsidRDefault="009C7078" w:rsidP="009C7078">
      <w:pPr>
        <w:pStyle w:val="Recuodecorpodetexto"/>
        <w:spacing w:line="360" w:lineRule="auto"/>
        <w:ind w:firstLine="3402"/>
        <w:rPr>
          <w:color w:val="008080"/>
          <w:sz w:val="24"/>
          <w:szCs w:val="24"/>
        </w:rPr>
      </w:pPr>
    </w:p>
    <w:p w:rsidR="009C7078" w:rsidRDefault="009C7078" w:rsidP="009C7078">
      <w:pPr>
        <w:pStyle w:val="Recuodecorpodetexto"/>
        <w:spacing w:line="360" w:lineRule="auto"/>
        <w:ind w:firstLine="0"/>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C832FC">
        <w:rPr>
          <w:rFonts w:ascii="Arial" w:hAnsi="Arial" w:cs="Arial"/>
        </w:rPr>
        <w:t>7</w:t>
      </w:r>
      <w:r>
        <w:rPr>
          <w:rFonts w:ascii="Arial" w:hAnsi="Arial" w:cs="Arial"/>
        </w:rPr>
        <w:t>. No exercício de 202</w:t>
      </w:r>
      <w:r w:rsidR="00914193">
        <w:rPr>
          <w:rFonts w:ascii="Arial" w:hAnsi="Arial" w:cs="Arial"/>
        </w:rPr>
        <w:t>4</w:t>
      </w:r>
      <w:r>
        <w:rPr>
          <w:rFonts w:ascii="Arial" w:hAnsi="Arial" w:cs="Arial"/>
        </w:rPr>
        <w:t>, no que tange a recursos provenientes de alienação de bens, o Município arrecadou</w:t>
      </w:r>
      <w:r w:rsidR="00914193">
        <w:rPr>
          <w:rFonts w:ascii="Arial" w:hAnsi="Arial" w:cs="Arial"/>
        </w:rPr>
        <w:t xml:space="preserve"> R$ 452.729,68, sendo</w:t>
      </w:r>
      <w:r>
        <w:rPr>
          <w:rFonts w:ascii="Arial" w:hAnsi="Arial" w:cs="Arial"/>
        </w:rPr>
        <w:t xml:space="preserve"> rendimentos líquidos de aplicação financeira na importância de R$ </w:t>
      </w:r>
      <w:r w:rsidR="00914193">
        <w:rPr>
          <w:rFonts w:ascii="Arial" w:hAnsi="Arial" w:cs="Arial"/>
        </w:rPr>
        <w:t>27.229,68 e</w:t>
      </w:r>
      <w:r>
        <w:rPr>
          <w:rFonts w:ascii="Arial" w:hAnsi="Arial" w:cs="Arial"/>
        </w:rPr>
        <w:t xml:space="preserve"> a importância de R$ </w:t>
      </w:r>
      <w:r w:rsidR="00914193">
        <w:rPr>
          <w:rFonts w:ascii="Arial" w:hAnsi="Arial" w:cs="Arial"/>
        </w:rPr>
        <w:t>425.500,00</w:t>
      </w:r>
      <w:r>
        <w:rPr>
          <w:rFonts w:ascii="Arial" w:hAnsi="Arial" w:cs="Arial"/>
        </w:rPr>
        <w:t xml:space="preserve"> decorrente de alienação de bens. Em relação ao disposto no Artigo 44 da Lei Complementar 101/2000, o Município aplicou </w:t>
      </w:r>
      <w:r w:rsidR="00204E46">
        <w:rPr>
          <w:rFonts w:ascii="Arial" w:hAnsi="Arial" w:cs="Arial"/>
        </w:rPr>
        <w:t>o valor de R$ 154.383,92 d</w:t>
      </w:r>
      <w:r>
        <w:rPr>
          <w:rFonts w:ascii="Arial" w:hAnsi="Arial" w:cs="Arial"/>
        </w:rPr>
        <w:t>os referidos recursos provenientes da receita resultante de alienação de ativos, bem assim o saldo de exercício anterior</w:t>
      </w:r>
      <w:r w:rsidR="00204E46">
        <w:rPr>
          <w:rFonts w:ascii="Arial" w:hAnsi="Arial" w:cs="Arial"/>
        </w:rPr>
        <w:t>. Considerando o saldo inicial de R$ 352.857,10, o exercício findou com o saldo de R$ 651.203,58</w:t>
      </w:r>
      <w:r>
        <w:rPr>
          <w:rFonts w:ascii="Arial" w:hAnsi="Arial" w:cs="Arial"/>
        </w:rPr>
        <w:t xml:space="preserve"> para aplicação em exercício futuro.</w:t>
      </w:r>
    </w:p>
    <w:p w:rsidR="009C7078" w:rsidRDefault="009C7078" w:rsidP="009C7078">
      <w:pPr>
        <w:pStyle w:val="Recuodecorpodetexto"/>
        <w:spacing w:line="360" w:lineRule="auto"/>
        <w:ind w:firstLine="3402"/>
        <w:rPr>
          <w:sz w:val="24"/>
          <w:szCs w:val="24"/>
        </w:rPr>
      </w:pPr>
    </w:p>
    <w:tbl>
      <w:tblPr>
        <w:tblW w:w="8505"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60"/>
      </w:tblPr>
      <w:tblGrid>
        <w:gridCol w:w="6096"/>
        <w:gridCol w:w="2409"/>
      </w:tblGrid>
      <w:tr w:rsidR="009C7078" w:rsidTr="009C7078">
        <w:tc>
          <w:tcPr>
            <w:tcW w:w="6096" w:type="dxa"/>
            <w:tcBorders>
              <w:top w:val="single" w:sz="12" w:space="0" w:color="000000"/>
              <w:left w:val="single" w:sz="12" w:space="0" w:color="000000"/>
              <w:bottom w:val="single" w:sz="12" w:space="0" w:color="000000"/>
              <w:right w:val="single" w:sz="6" w:space="0" w:color="000000"/>
            </w:tcBorders>
            <w:hideMark/>
          </w:tcPr>
          <w:p w:rsidR="009C7078" w:rsidRDefault="009C7078">
            <w:pPr>
              <w:pStyle w:val="Recuodecorpodetexto"/>
              <w:spacing w:line="360" w:lineRule="auto"/>
              <w:ind w:firstLine="0"/>
              <w:rPr>
                <w:rFonts w:ascii="Arial" w:hAnsi="Arial" w:cs="Arial"/>
                <w:b/>
              </w:rPr>
            </w:pPr>
            <w:r>
              <w:rPr>
                <w:rFonts w:ascii="Arial" w:hAnsi="Arial" w:cs="Arial"/>
                <w:b/>
              </w:rPr>
              <w:t>Saldo do Exercício Anterior</w:t>
            </w:r>
          </w:p>
        </w:tc>
        <w:tc>
          <w:tcPr>
            <w:tcW w:w="2409" w:type="dxa"/>
            <w:tcBorders>
              <w:top w:val="single" w:sz="12" w:space="0" w:color="000000"/>
              <w:left w:val="single" w:sz="6" w:space="0" w:color="000000"/>
              <w:bottom w:val="single" w:sz="12" w:space="0" w:color="000000"/>
              <w:right w:val="single" w:sz="12" w:space="0" w:color="000000"/>
            </w:tcBorders>
            <w:hideMark/>
          </w:tcPr>
          <w:p w:rsidR="009C7078" w:rsidRDefault="00204E46">
            <w:pPr>
              <w:pStyle w:val="Recuodecorpodetexto"/>
              <w:spacing w:line="360" w:lineRule="auto"/>
              <w:ind w:firstLine="0"/>
              <w:jc w:val="right"/>
              <w:rPr>
                <w:rFonts w:ascii="Arial" w:hAnsi="Arial" w:cs="Arial"/>
                <w:b/>
              </w:rPr>
            </w:pPr>
            <w:r>
              <w:rPr>
                <w:rFonts w:ascii="Arial" w:hAnsi="Arial" w:cs="Arial"/>
                <w:b/>
              </w:rPr>
              <w:t>352.857,10</w:t>
            </w:r>
          </w:p>
        </w:tc>
      </w:tr>
      <w:tr w:rsidR="009C7078" w:rsidTr="009C7078">
        <w:tc>
          <w:tcPr>
            <w:tcW w:w="6096" w:type="dxa"/>
            <w:tcBorders>
              <w:top w:val="single" w:sz="6" w:space="0" w:color="000000"/>
              <w:left w:val="single" w:sz="12" w:space="0" w:color="000000"/>
              <w:bottom w:val="single" w:sz="6" w:space="0" w:color="000000"/>
              <w:right w:val="single" w:sz="6" w:space="0" w:color="000000"/>
            </w:tcBorders>
            <w:hideMark/>
          </w:tcPr>
          <w:p w:rsidR="009C7078" w:rsidRDefault="009C7078" w:rsidP="00204E46">
            <w:pPr>
              <w:pStyle w:val="Recuodecorpodetexto"/>
              <w:spacing w:line="360" w:lineRule="auto"/>
              <w:ind w:firstLine="0"/>
              <w:rPr>
                <w:rFonts w:ascii="Arial" w:hAnsi="Arial" w:cs="Arial"/>
                <w:b/>
                <w:bCs/>
              </w:rPr>
            </w:pPr>
            <w:r>
              <w:rPr>
                <w:rFonts w:ascii="Arial" w:hAnsi="Arial" w:cs="Arial"/>
                <w:b/>
                <w:bCs/>
              </w:rPr>
              <w:t>(+) Receita da Alienação de Bens em 202</w:t>
            </w:r>
            <w:r w:rsidR="00204E46">
              <w:rPr>
                <w:rFonts w:ascii="Arial" w:hAnsi="Arial" w:cs="Arial"/>
                <w:b/>
                <w:bCs/>
              </w:rPr>
              <w:t>4</w:t>
            </w:r>
            <w:r>
              <w:rPr>
                <w:rFonts w:ascii="Arial" w:hAnsi="Arial" w:cs="Arial"/>
                <w:b/>
                <w:bCs/>
              </w:rPr>
              <w:t xml:space="preserve"> e rendimentos</w:t>
            </w:r>
          </w:p>
        </w:tc>
        <w:tc>
          <w:tcPr>
            <w:tcW w:w="2409" w:type="dxa"/>
            <w:tcBorders>
              <w:top w:val="single" w:sz="6" w:space="0" w:color="000000"/>
              <w:left w:val="single" w:sz="6" w:space="0" w:color="000000"/>
              <w:bottom w:val="single" w:sz="6" w:space="0" w:color="000000"/>
              <w:right w:val="single" w:sz="12" w:space="0" w:color="000000"/>
            </w:tcBorders>
            <w:hideMark/>
          </w:tcPr>
          <w:p w:rsidR="009C7078" w:rsidRDefault="00204E46">
            <w:pPr>
              <w:pStyle w:val="Recuodecorpodetexto"/>
              <w:spacing w:line="360" w:lineRule="auto"/>
              <w:ind w:firstLine="0"/>
              <w:jc w:val="right"/>
              <w:rPr>
                <w:rFonts w:ascii="Arial" w:hAnsi="Arial" w:cs="Arial"/>
              </w:rPr>
            </w:pPr>
            <w:r>
              <w:rPr>
                <w:rFonts w:ascii="Arial" w:hAnsi="Arial" w:cs="Arial"/>
              </w:rPr>
              <w:t>452.729,68</w:t>
            </w:r>
          </w:p>
        </w:tc>
      </w:tr>
      <w:tr w:rsidR="009C7078" w:rsidTr="009C7078">
        <w:tc>
          <w:tcPr>
            <w:tcW w:w="6096" w:type="dxa"/>
            <w:tcBorders>
              <w:top w:val="single" w:sz="6" w:space="0" w:color="000000"/>
              <w:left w:val="single" w:sz="12" w:space="0" w:color="000000"/>
              <w:bottom w:val="single" w:sz="6" w:space="0" w:color="000000"/>
              <w:right w:val="single" w:sz="6" w:space="0" w:color="000000"/>
            </w:tcBorders>
            <w:hideMark/>
          </w:tcPr>
          <w:p w:rsidR="009C7078" w:rsidRDefault="009C7078">
            <w:pPr>
              <w:pStyle w:val="Recuodecorpodetexto"/>
              <w:spacing w:line="360" w:lineRule="auto"/>
              <w:ind w:firstLine="0"/>
              <w:rPr>
                <w:rFonts w:ascii="Arial" w:hAnsi="Arial" w:cs="Arial"/>
                <w:b/>
                <w:bCs/>
              </w:rPr>
            </w:pPr>
            <w:r>
              <w:rPr>
                <w:rFonts w:ascii="Arial" w:hAnsi="Arial" w:cs="Arial"/>
                <w:b/>
                <w:bCs/>
              </w:rPr>
              <w:lastRenderedPageBreak/>
              <w:t>(-) Aplicação em Despesas de Capital - Investimentos</w:t>
            </w:r>
          </w:p>
        </w:tc>
        <w:tc>
          <w:tcPr>
            <w:tcW w:w="2409" w:type="dxa"/>
            <w:tcBorders>
              <w:top w:val="single" w:sz="6" w:space="0" w:color="000000"/>
              <w:left w:val="single" w:sz="6" w:space="0" w:color="000000"/>
              <w:bottom w:val="single" w:sz="6" w:space="0" w:color="000000"/>
              <w:right w:val="single" w:sz="12" w:space="0" w:color="000000"/>
            </w:tcBorders>
            <w:hideMark/>
          </w:tcPr>
          <w:p w:rsidR="009C7078" w:rsidRDefault="00204E46">
            <w:pPr>
              <w:pStyle w:val="Recuodecorpodetexto"/>
              <w:spacing w:line="360" w:lineRule="auto"/>
              <w:ind w:firstLine="0"/>
              <w:jc w:val="right"/>
              <w:rPr>
                <w:rFonts w:ascii="Arial" w:hAnsi="Arial" w:cs="Arial"/>
              </w:rPr>
            </w:pPr>
            <w:r>
              <w:rPr>
                <w:rFonts w:ascii="Arial" w:hAnsi="Arial" w:cs="Arial"/>
              </w:rPr>
              <w:t>154.383,92</w:t>
            </w:r>
          </w:p>
        </w:tc>
      </w:tr>
      <w:tr w:rsidR="009C7078" w:rsidTr="009C7078">
        <w:tc>
          <w:tcPr>
            <w:tcW w:w="6096" w:type="dxa"/>
            <w:tcBorders>
              <w:top w:val="single" w:sz="6" w:space="0" w:color="000000"/>
              <w:left w:val="single" w:sz="12" w:space="0" w:color="000000"/>
              <w:bottom w:val="single" w:sz="12" w:space="0" w:color="000000"/>
              <w:right w:val="single" w:sz="6" w:space="0" w:color="000000"/>
            </w:tcBorders>
            <w:hideMark/>
          </w:tcPr>
          <w:p w:rsidR="009C7078" w:rsidRDefault="009C7078">
            <w:pPr>
              <w:pStyle w:val="Recuodecorpodetexto"/>
              <w:spacing w:line="360" w:lineRule="auto"/>
              <w:ind w:firstLine="0"/>
              <w:rPr>
                <w:rFonts w:ascii="Arial" w:hAnsi="Arial" w:cs="Arial"/>
                <w:b/>
              </w:rPr>
            </w:pPr>
            <w:r>
              <w:rPr>
                <w:rFonts w:ascii="Arial" w:hAnsi="Arial" w:cs="Arial"/>
                <w:b/>
              </w:rPr>
              <w:t>(=) Saldo transferido para o exercício seguinte</w:t>
            </w:r>
          </w:p>
        </w:tc>
        <w:tc>
          <w:tcPr>
            <w:tcW w:w="2409" w:type="dxa"/>
            <w:tcBorders>
              <w:top w:val="single" w:sz="6" w:space="0" w:color="000000"/>
              <w:left w:val="single" w:sz="6" w:space="0" w:color="000000"/>
              <w:bottom w:val="single" w:sz="12" w:space="0" w:color="000000"/>
              <w:right w:val="single" w:sz="12" w:space="0" w:color="000000"/>
            </w:tcBorders>
            <w:hideMark/>
          </w:tcPr>
          <w:p w:rsidR="009C7078" w:rsidRDefault="00204E46">
            <w:pPr>
              <w:pStyle w:val="Recuodecorpodetexto"/>
              <w:spacing w:line="360" w:lineRule="auto"/>
              <w:ind w:firstLine="0"/>
              <w:jc w:val="right"/>
              <w:rPr>
                <w:rFonts w:ascii="Arial" w:hAnsi="Arial" w:cs="Arial"/>
                <w:b/>
              </w:rPr>
            </w:pPr>
            <w:r>
              <w:rPr>
                <w:rFonts w:ascii="Arial" w:hAnsi="Arial" w:cs="Arial"/>
                <w:b/>
              </w:rPr>
              <w:t>651.202,86</w:t>
            </w:r>
          </w:p>
        </w:tc>
      </w:tr>
    </w:tbl>
    <w:p w:rsidR="009C7078" w:rsidRDefault="009C7078" w:rsidP="009C7078">
      <w:pPr>
        <w:pStyle w:val="Recuodecorpodetexto"/>
        <w:spacing w:line="360" w:lineRule="auto"/>
        <w:ind w:firstLine="0"/>
        <w:jc w:val="center"/>
        <w:rPr>
          <w:b/>
          <w:sz w:val="24"/>
          <w:szCs w:val="24"/>
        </w:rPr>
      </w:pPr>
    </w:p>
    <w:p w:rsidR="009C7078" w:rsidRDefault="009C7078" w:rsidP="009C7078">
      <w:pPr>
        <w:pStyle w:val="Recuodecorpodetexto"/>
        <w:spacing w:line="360" w:lineRule="auto"/>
        <w:ind w:firstLine="0"/>
        <w:jc w:val="center"/>
        <w:rPr>
          <w:sz w:val="24"/>
          <w:szCs w:val="24"/>
        </w:rPr>
      </w:pPr>
      <w:r>
        <w:rPr>
          <w:b/>
          <w:sz w:val="24"/>
          <w:szCs w:val="24"/>
        </w:rPr>
        <w:t>EXECUÇÃO ORÇAMENTÁRIA</w:t>
      </w:r>
      <w:r>
        <w:rPr>
          <w:sz w:val="24"/>
          <w:szCs w:val="24"/>
        </w:rPr>
        <w:t>:</w:t>
      </w:r>
    </w:p>
    <w:p w:rsidR="009C7078" w:rsidRDefault="009C7078" w:rsidP="009C7078">
      <w:pPr>
        <w:pStyle w:val="Recuodecorpodetexto"/>
        <w:spacing w:line="360" w:lineRule="auto"/>
        <w:ind w:firstLine="0"/>
        <w:jc w:val="center"/>
        <w:rPr>
          <w:sz w:val="24"/>
          <w:szCs w:val="24"/>
        </w:rPr>
      </w:pPr>
    </w:p>
    <w:p w:rsidR="009C7078" w:rsidRDefault="00C832FC" w:rsidP="009C7078">
      <w:pPr>
        <w:pStyle w:val="Recuodecorpodetexto"/>
        <w:spacing w:line="360" w:lineRule="auto"/>
        <w:ind w:firstLine="3402"/>
        <w:rPr>
          <w:rFonts w:ascii="Arial" w:hAnsi="Arial" w:cs="Arial"/>
        </w:rPr>
      </w:pPr>
      <w:r>
        <w:rPr>
          <w:rFonts w:ascii="Arial" w:hAnsi="Arial" w:cs="Arial"/>
        </w:rPr>
        <w:t>8</w:t>
      </w:r>
      <w:r w:rsidR="009C7078">
        <w:rPr>
          <w:rFonts w:ascii="Arial" w:hAnsi="Arial" w:cs="Arial"/>
        </w:rPr>
        <w:t>. Em análise mais detalhada das operações financeiras e orçamentárias realizadas no exercício de 202</w:t>
      </w:r>
      <w:r w:rsidR="00204E46">
        <w:rPr>
          <w:rFonts w:ascii="Arial" w:hAnsi="Arial" w:cs="Arial"/>
        </w:rPr>
        <w:t>4</w:t>
      </w:r>
      <w:r w:rsidR="009C7078">
        <w:rPr>
          <w:rFonts w:ascii="Arial" w:hAnsi="Arial" w:cs="Arial"/>
        </w:rPr>
        <w:t>, observamos, em relação ao disposto no Capítulo II, do Título IX da Lei Federal n.º 4.320/64, que todas foram escrituradas em conformidade com as normas aí previstas e com observância dos princípios fundamentais de contabilidade, aplicáveis à espécie, pois:</w:t>
      </w:r>
    </w:p>
    <w:p w:rsidR="009C7078" w:rsidRDefault="009C7078" w:rsidP="009C7078">
      <w:pPr>
        <w:pStyle w:val="Recuodecorpodetexto"/>
        <w:spacing w:line="360" w:lineRule="auto"/>
        <w:ind w:firstLine="3402"/>
        <w:rPr>
          <w:rFonts w:ascii="Arial" w:hAnsi="Arial" w:cs="Arial"/>
        </w:rPr>
      </w:pPr>
    </w:p>
    <w:p w:rsidR="009C7078" w:rsidRPr="00204E46" w:rsidRDefault="009C7078" w:rsidP="00204E46">
      <w:pPr>
        <w:pStyle w:val="Recuodecorpodetexto"/>
        <w:numPr>
          <w:ilvl w:val="0"/>
          <w:numId w:val="3"/>
        </w:numPr>
        <w:tabs>
          <w:tab w:val="clear" w:pos="4188"/>
          <w:tab w:val="num" w:pos="-2268"/>
          <w:tab w:val="left" w:pos="3686"/>
          <w:tab w:val="left" w:pos="6096"/>
        </w:tabs>
        <w:spacing w:line="360" w:lineRule="auto"/>
        <w:ind w:left="0" w:firstLine="3402"/>
        <w:rPr>
          <w:sz w:val="24"/>
          <w:szCs w:val="24"/>
        </w:rPr>
      </w:pPr>
      <w:r>
        <w:rPr>
          <w:rFonts w:ascii="Arial" w:hAnsi="Arial" w:cs="Arial"/>
        </w:rPr>
        <w:t>A despesa orçamentária conteve-se no limite dos créditos votados e em nenhum momento, durante a execução, excedeu o montante autorizado</w:t>
      </w:r>
      <w:r w:rsidR="00204E46">
        <w:rPr>
          <w:rFonts w:ascii="Arial" w:hAnsi="Arial" w:cs="Arial"/>
        </w:rPr>
        <w:t>.</w:t>
      </w:r>
    </w:p>
    <w:p w:rsidR="00204E46" w:rsidRDefault="00204E46" w:rsidP="00204E46">
      <w:pPr>
        <w:pStyle w:val="Recuodecorpodetexto"/>
        <w:tabs>
          <w:tab w:val="left" w:pos="3686"/>
          <w:tab w:val="left" w:pos="6096"/>
        </w:tabs>
        <w:spacing w:line="360" w:lineRule="auto"/>
        <w:ind w:left="3402" w:firstLine="0"/>
        <w:rPr>
          <w:sz w:val="24"/>
          <w:szCs w:val="24"/>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Os gastos efetuados guardaram conformidade com a classificação funcional-programática da Lei Federal n.º 4.320/64 e Portarias Ministeriais.</w:t>
      </w:r>
    </w:p>
    <w:p w:rsidR="009C7078" w:rsidRDefault="009C7078" w:rsidP="009C7078">
      <w:pPr>
        <w:pStyle w:val="Recuodecorpodetexto"/>
        <w:tabs>
          <w:tab w:val="left" w:pos="3686"/>
        </w:tabs>
        <w:spacing w:line="360" w:lineRule="auto"/>
        <w:ind w:firstLine="3402"/>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 xml:space="preserve">Houve correção quanto à classificação econômica da despesa (Anexo 01 da Lei Federal n.º 4.320/64 e Portarias Ministeriais). </w:t>
      </w:r>
    </w:p>
    <w:p w:rsidR="009C7078" w:rsidRDefault="009C7078" w:rsidP="009C7078">
      <w:pPr>
        <w:pStyle w:val="Recuodecorpodetexto"/>
        <w:tabs>
          <w:tab w:val="left" w:pos="3686"/>
        </w:tabs>
        <w:spacing w:line="360" w:lineRule="auto"/>
        <w:ind w:firstLine="3402"/>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 xml:space="preserve">Ficou caracterizada a observância das fases da despesa estabelecidas nos arts. 60, 63 e 64 da Lei Federal n.º 4.320/64. </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As Notas de Empenho e Ordens de Pagamento estão acompanhadas de documentação comprobatória hábil (notas fiscais, recibos, faturas, conhecimento, etc.), nos termos da legislação vigente.</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Com relação a adiantamentos de numerários, constatamos que o Município não promoveu nenhum adiantamento durante o exercício de 202</w:t>
      </w:r>
      <w:r w:rsidR="00204E46">
        <w:rPr>
          <w:rFonts w:ascii="Arial" w:hAnsi="Arial" w:cs="Arial"/>
        </w:rPr>
        <w:t>4</w:t>
      </w:r>
      <w:r>
        <w:rPr>
          <w:rFonts w:ascii="Arial" w:hAnsi="Arial" w:cs="Arial"/>
        </w:rPr>
        <w:t>.</w:t>
      </w:r>
    </w:p>
    <w:p w:rsidR="009C7078" w:rsidRDefault="009C7078" w:rsidP="009C7078">
      <w:pPr>
        <w:pStyle w:val="Recuodecorpodetexto"/>
        <w:ind w:left="3828"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Os bens móveis adquiridos ou alienados no curso do exercício foram contabilizados nas contas patrimoniais respectivas.</w:t>
      </w:r>
    </w:p>
    <w:p w:rsidR="009C7078" w:rsidRDefault="009C7078" w:rsidP="009C7078">
      <w:pPr>
        <w:pStyle w:val="Recuodecorpodetexto"/>
        <w:tabs>
          <w:tab w:val="left" w:pos="3686"/>
        </w:tabs>
        <w:spacing w:line="360" w:lineRule="auto"/>
        <w:ind w:firstLine="0"/>
        <w:rPr>
          <w:rFonts w:ascii="Arial" w:hAnsi="Arial" w:cs="Arial"/>
        </w:rPr>
      </w:pPr>
    </w:p>
    <w:p w:rsidR="009C7078" w:rsidRPr="00204E46" w:rsidRDefault="009C7078" w:rsidP="00204E46">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Houve controles contábeis mensais das entradas, saídas e do saldo dos mater</w:t>
      </w:r>
      <w:r w:rsidR="00204E46">
        <w:rPr>
          <w:rFonts w:ascii="Arial" w:hAnsi="Arial" w:cs="Arial"/>
        </w:rPr>
        <w:t>iais estocados em almoxarifado.</w:t>
      </w: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lastRenderedPageBreak/>
        <w:t>As informações constantes do sistema patrimonial conferem com os registros contábeis apenas nos bens móveis, não ocorrendo com os bens imóveis, mas mesmo assim são suficientes para demonstrar a posição do Patrimônio do Município.</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No controle contábil das operações financeiras extra-orçamentárias, nenhuma irregularidade foi constatada.</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Analisando-se os créditos adicionais abertos no exercício, observa-se a existência de autorização legal para a abertura, bem como a existência dos recursos indicados para a sua cobertura, conforme o prescrito no art. 43 da Lei 4.320/64, no exercício de 202</w:t>
      </w:r>
      <w:r w:rsidR="001A204F">
        <w:rPr>
          <w:rFonts w:ascii="Arial" w:hAnsi="Arial" w:cs="Arial"/>
        </w:rPr>
        <w:t>4</w:t>
      </w:r>
      <w:r>
        <w:rPr>
          <w:rFonts w:ascii="Arial" w:hAnsi="Arial" w:cs="Arial"/>
        </w:rPr>
        <w:t>. Cabe destacar que o controle do superávit financeiro é realizado por Fonte de Recursos e não pelo saldo do balanço do exercício anterior.</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spacing w:line="360" w:lineRule="auto"/>
        <w:ind w:firstLine="0"/>
        <w:jc w:val="center"/>
        <w:rPr>
          <w:rFonts w:ascii="Arial" w:hAnsi="Arial" w:cs="Arial"/>
        </w:rPr>
      </w:pPr>
      <w:r>
        <w:rPr>
          <w:rFonts w:ascii="Arial" w:hAnsi="Arial" w:cs="Arial"/>
          <w:b/>
        </w:rPr>
        <w:t>DEMONSTRATIVOS FINANCEIROS</w:t>
      </w:r>
      <w:r>
        <w:rPr>
          <w:rFonts w:ascii="Arial" w:hAnsi="Arial" w:cs="Arial"/>
        </w:rPr>
        <w:t>:</w:t>
      </w:r>
    </w:p>
    <w:p w:rsidR="009C7078" w:rsidRDefault="009C7078" w:rsidP="009C7078">
      <w:pPr>
        <w:pStyle w:val="Recuodecorpodetexto"/>
        <w:spacing w:line="360" w:lineRule="auto"/>
        <w:ind w:firstLine="0"/>
        <w:jc w:val="center"/>
        <w:rPr>
          <w:rFonts w:ascii="Arial" w:hAnsi="Arial" w:cs="Arial"/>
        </w:rPr>
      </w:pPr>
    </w:p>
    <w:p w:rsidR="009C7078" w:rsidRDefault="00C832FC" w:rsidP="009C7078">
      <w:pPr>
        <w:pStyle w:val="Recuodecorpodetexto"/>
        <w:tabs>
          <w:tab w:val="left" w:pos="3686"/>
        </w:tabs>
        <w:spacing w:line="360" w:lineRule="auto"/>
        <w:ind w:firstLine="3402"/>
        <w:rPr>
          <w:rFonts w:ascii="Arial" w:hAnsi="Arial" w:cs="Arial"/>
        </w:rPr>
      </w:pPr>
      <w:r>
        <w:rPr>
          <w:rFonts w:ascii="Arial" w:hAnsi="Arial" w:cs="Arial"/>
        </w:rPr>
        <w:t>9</w:t>
      </w:r>
      <w:r w:rsidR="009C7078">
        <w:rPr>
          <w:rFonts w:ascii="Arial" w:hAnsi="Arial" w:cs="Arial"/>
        </w:rPr>
        <w:t>. Analisando-se os principais demonstrativos financeiros que compõem o Balanço Geral do Município, especificamente o Balanço Financeiro (anexo 13), Balanço Patrimonial (anexo 14) e a Demonstração das Variações Patrimoniais (anexo 15), verificou-se o atendimento das normas legais vigentes</w:t>
      </w:r>
      <w:r w:rsidR="00547EF5">
        <w:rPr>
          <w:rFonts w:ascii="Arial" w:hAnsi="Arial" w:cs="Arial"/>
        </w:rPr>
        <w:t>.</w:t>
      </w:r>
    </w:p>
    <w:p w:rsidR="009C7078" w:rsidRDefault="009C7078" w:rsidP="009C7078">
      <w:pPr>
        <w:pStyle w:val="Recuodecorpodetexto"/>
        <w:spacing w:line="360" w:lineRule="auto"/>
        <w:ind w:left="3828" w:firstLine="0"/>
        <w:rPr>
          <w:rFonts w:ascii="Arial" w:hAnsi="Arial" w:cs="Arial"/>
        </w:rPr>
      </w:pP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0"/>
        <w:jc w:val="center"/>
        <w:rPr>
          <w:rFonts w:ascii="Arial" w:hAnsi="Arial" w:cs="Arial"/>
          <w:b/>
        </w:rPr>
      </w:pPr>
      <w:r>
        <w:rPr>
          <w:rFonts w:ascii="Arial" w:hAnsi="Arial" w:cs="Arial"/>
          <w:b/>
        </w:rPr>
        <w:t>CONCILIAÇÕES BANCÁRIAS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1</w:t>
      </w:r>
      <w:r w:rsidR="00C832FC">
        <w:rPr>
          <w:rFonts w:ascii="Arial" w:hAnsi="Arial" w:cs="Arial"/>
        </w:rPr>
        <w:t>0</w:t>
      </w:r>
      <w:r>
        <w:rPr>
          <w:rFonts w:ascii="Arial" w:hAnsi="Arial" w:cs="Arial"/>
        </w:rPr>
        <w:t>. No decorrer do exercício financeiro de 202</w:t>
      </w:r>
      <w:r w:rsidR="00547EF5">
        <w:rPr>
          <w:rFonts w:ascii="Arial" w:hAnsi="Arial" w:cs="Arial"/>
        </w:rPr>
        <w:t>4</w:t>
      </w:r>
      <w:r>
        <w:rPr>
          <w:rFonts w:ascii="Arial" w:hAnsi="Arial" w:cs="Arial"/>
        </w:rPr>
        <w:t>, os setores de tesouraria e contabilidade, elaboraram as conciliações bancárias de forma regular e tempestiva, demonstrando a confiabilidade dos registros contábeis frente as correspondentes contas bancárias junto às instituições financeiras.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0"/>
        <w:jc w:val="center"/>
        <w:rPr>
          <w:rFonts w:ascii="Arial" w:hAnsi="Arial" w:cs="Arial"/>
          <w:b/>
        </w:rPr>
      </w:pPr>
      <w:r>
        <w:rPr>
          <w:rFonts w:ascii="Arial" w:hAnsi="Arial" w:cs="Arial"/>
          <w:b/>
        </w:rPr>
        <w:t>DECLARAÇÕES DE BENS E RENDAS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1</w:t>
      </w:r>
      <w:r w:rsidR="00C832FC">
        <w:rPr>
          <w:rFonts w:ascii="Arial" w:hAnsi="Arial" w:cs="Arial"/>
        </w:rPr>
        <w:t>1</w:t>
      </w:r>
      <w:r>
        <w:rPr>
          <w:rFonts w:ascii="Arial" w:hAnsi="Arial" w:cs="Arial"/>
        </w:rPr>
        <w:t>. O Setor de Recursos Humanos mantém sob sua guarda as declarações de bens e rendas apresentadas pelos agentes públicos do Município, nos termos do Decreto Municipal nº 26/2022, de 23 de março de 2022.</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0"/>
        <w:jc w:val="center"/>
        <w:rPr>
          <w:rFonts w:ascii="Arial" w:hAnsi="Arial" w:cs="Arial"/>
          <w:b/>
        </w:rPr>
      </w:pPr>
      <w:r>
        <w:rPr>
          <w:rFonts w:ascii="Arial" w:hAnsi="Arial" w:cs="Arial"/>
          <w:b/>
        </w:rPr>
        <w:t>INVENTÁRIO DE BENS PATRIMONIAIS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lastRenderedPageBreak/>
        <w:t>1</w:t>
      </w:r>
      <w:r w:rsidR="00C832FC">
        <w:rPr>
          <w:rFonts w:ascii="Arial" w:hAnsi="Arial" w:cs="Arial"/>
        </w:rPr>
        <w:t>2</w:t>
      </w:r>
      <w:r>
        <w:rPr>
          <w:rFonts w:ascii="Arial" w:hAnsi="Arial" w:cs="Arial"/>
        </w:rPr>
        <w:t>. Anualmente, o Setor de Patrimônio realiza o inventário dos Bens Patrimoniais do Município. Conforme já mencionado no ítem 9, "i", as informações constantes do sistema patrimonial conferem com os registros contábeis apenas nos bens móveis, não ocorrendo com os bens imóveis, mas mesmo assim são suficientes para demonstrar a posição do Patrimônio do Município.</w:t>
      </w:r>
      <w:r w:rsidR="00547EF5">
        <w:rPr>
          <w:rFonts w:ascii="Arial" w:hAnsi="Arial" w:cs="Arial"/>
        </w:rPr>
        <w:t xml:space="preserve"> Deverá o Município realizar inventário dos bens imóveis, visando o cumprimento da legislação </w:t>
      </w:r>
      <w:r w:rsidR="006B570C">
        <w:rPr>
          <w:rFonts w:ascii="Arial" w:hAnsi="Arial" w:cs="Arial"/>
        </w:rPr>
        <w:t>aplicada à matéria.</w:t>
      </w:r>
    </w:p>
    <w:p w:rsidR="006B570C" w:rsidRDefault="006B570C" w:rsidP="009C7078">
      <w:pPr>
        <w:pStyle w:val="Recuodecorpodetexto"/>
        <w:spacing w:line="360" w:lineRule="auto"/>
        <w:ind w:firstLine="3402"/>
        <w:rPr>
          <w:rFonts w:ascii="Arial" w:hAnsi="Arial" w:cs="Arial"/>
        </w:rPr>
      </w:pPr>
    </w:p>
    <w:p w:rsidR="009C7078" w:rsidRDefault="009C7078" w:rsidP="009C7078">
      <w:pPr>
        <w:pStyle w:val="Recuodecorpodetexto"/>
        <w:spacing w:line="360" w:lineRule="auto"/>
        <w:ind w:firstLine="0"/>
        <w:jc w:val="center"/>
        <w:rPr>
          <w:rFonts w:ascii="Arial" w:hAnsi="Arial" w:cs="Arial"/>
          <w:b/>
        </w:rPr>
      </w:pPr>
      <w:r>
        <w:rPr>
          <w:rFonts w:ascii="Arial" w:hAnsi="Arial" w:cs="Arial"/>
          <w:b/>
        </w:rPr>
        <w:t>CUMPRIMENTO DE DECISÕES DO TCE</w:t>
      </w:r>
    </w:p>
    <w:p w:rsidR="009C7078" w:rsidRDefault="009C7078" w:rsidP="009C7078">
      <w:pPr>
        <w:pStyle w:val="Recuodecorpodetexto"/>
        <w:spacing w:line="360" w:lineRule="auto"/>
        <w:ind w:firstLine="3402"/>
        <w:jc w:val="left"/>
        <w:rPr>
          <w:rFonts w:ascii="Arial" w:hAnsi="Arial" w:cs="Arial"/>
          <w:b/>
        </w:rPr>
      </w:pPr>
    </w:p>
    <w:p w:rsidR="009C7078" w:rsidRDefault="009C7078" w:rsidP="009C7078">
      <w:pPr>
        <w:pStyle w:val="Recuodecorpodetexto"/>
        <w:spacing w:line="360" w:lineRule="auto"/>
        <w:ind w:firstLine="3402"/>
        <w:rPr>
          <w:rFonts w:ascii="Arial" w:hAnsi="Arial" w:cs="Arial"/>
        </w:rPr>
      </w:pPr>
      <w:r>
        <w:rPr>
          <w:rFonts w:ascii="Arial" w:hAnsi="Arial" w:cs="Arial"/>
        </w:rPr>
        <w:t>1</w:t>
      </w:r>
      <w:r w:rsidR="00C832FC">
        <w:rPr>
          <w:rFonts w:ascii="Arial" w:hAnsi="Arial" w:cs="Arial"/>
        </w:rPr>
        <w:t>3</w:t>
      </w:r>
      <w:r>
        <w:rPr>
          <w:rFonts w:ascii="Arial" w:hAnsi="Arial" w:cs="Arial"/>
        </w:rPr>
        <w:t>. A UCCI, no que tange a assuntos relacionados a cumprimento de decisões do Tribunal de Contas do Estado, principalmente naquelas que deverão ser análises de auditorias futuras, procura</w:t>
      </w:r>
      <w:r w:rsidR="00256DAE">
        <w:rPr>
          <w:rFonts w:ascii="Arial" w:hAnsi="Arial" w:cs="Arial"/>
        </w:rPr>
        <w:t>,</w:t>
      </w:r>
      <w:r>
        <w:rPr>
          <w:rFonts w:ascii="Arial" w:hAnsi="Arial" w:cs="Arial"/>
        </w:rPr>
        <w:t xml:space="preserve"> </w:t>
      </w:r>
      <w:r w:rsidR="00256DAE">
        <w:rPr>
          <w:rFonts w:ascii="Arial" w:hAnsi="Arial" w:cs="Arial"/>
        </w:rPr>
        <w:t xml:space="preserve">quando houver, </w:t>
      </w:r>
      <w:r>
        <w:rPr>
          <w:rFonts w:ascii="Arial" w:hAnsi="Arial" w:cs="Arial"/>
        </w:rPr>
        <w:t>recomendar ao Gestor para a tomada de providências visando o saneamento da irregularidade.</w:t>
      </w:r>
      <w:r w:rsidR="00256DAE">
        <w:rPr>
          <w:rFonts w:ascii="Arial" w:hAnsi="Arial" w:cs="Arial"/>
        </w:rPr>
        <w:t xml:space="preserve"> Quando o TCE encaminha alguma decisão que contenha a obrigatoriedade de cumprimento de decisão do TCE por parte do Gestor Municipal, uma vez o TCE encaminhando tal decisão a UCCI, a mesma é encaminhada ao Gestor Municipal para a tomada de providências cabíveis para o saneamento.</w:t>
      </w:r>
    </w:p>
    <w:p w:rsidR="009C7078" w:rsidRDefault="009C7078" w:rsidP="009C7078">
      <w:pPr>
        <w:pStyle w:val="Recuodecorpodetexto"/>
        <w:spacing w:line="360" w:lineRule="auto"/>
        <w:ind w:firstLine="3402"/>
        <w:jc w:val="left"/>
        <w:rPr>
          <w:rFonts w:ascii="Arial" w:hAnsi="Arial" w:cs="Arial"/>
        </w:rPr>
      </w:pPr>
    </w:p>
    <w:p w:rsidR="00256DAE" w:rsidRDefault="00256DAE"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left="2693" w:hanging="2693"/>
        <w:jc w:val="center"/>
        <w:rPr>
          <w:rFonts w:ascii="Arial" w:hAnsi="Arial" w:cs="Arial"/>
          <w:b/>
        </w:rPr>
      </w:pPr>
      <w:r>
        <w:rPr>
          <w:rFonts w:ascii="Arial" w:hAnsi="Arial" w:cs="Arial"/>
          <w:b/>
        </w:rPr>
        <w:t>PARECER</w:t>
      </w:r>
    </w:p>
    <w:p w:rsidR="009C7078" w:rsidRDefault="009C7078" w:rsidP="009C7078">
      <w:pPr>
        <w:pStyle w:val="Recuodecorpodetexto"/>
        <w:spacing w:line="360" w:lineRule="auto"/>
        <w:rPr>
          <w:rFonts w:ascii="Arial" w:hAnsi="Arial" w:cs="Arial"/>
          <w:b/>
        </w:rPr>
      </w:pPr>
    </w:p>
    <w:p w:rsidR="00256DAE" w:rsidRDefault="00256DAE" w:rsidP="009C7078">
      <w:pPr>
        <w:pStyle w:val="Recuodecorpodetexto"/>
        <w:spacing w:line="360" w:lineRule="auto"/>
        <w:rPr>
          <w:rFonts w:ascii="Arial" w:hAnsi="Arial" w:cs="Arial"/>
          <w:b/>
        </w:rPr>
      </w:pPr>
    </w:p>
    <w:p w:rsidR="00381292" w:rsidRDefault="009C7078" w:rsidP="009C7078">
      <w:pPr>
        <w:pStyle w:val="Recuodecorpodetexto"/>
        <w:spacing w:line="360" w:lineRule="auto"/>
        <w:ind w:firstLine="3402"/>
        <w:rPr>
          <w:rFonts w:ascii="Arial" w:hAnsi="Arial" w:cs="Arial"/>
        </w:rPr>
      </w:pPr>
      <w:r>
        <w:rPr>
          <w:rFonts w:ascii="Arial" w:hAnsi="Arial" w:cs="Arial"/>
        </w:rPr>
        <w:t>Diante do exposto, o Sistema de Controle Interno é de Parecer que as Metas previstas no Plano Plurianual, priorizadas na Lei de Diretrizes Orçamentárias e os Programas do Governo Municipal elencados na Lei Orçamentária do Exercício 202</w:t>
      </w:r>
      <w:r w:rsidR="00381292">
        <w:rPr>
          <w:rFonts w:ascii="Arial" w:hAnsi="Arial" w:cs="Arial"/>
        </w:rPr>
        <w:t>4</w:t>
      </w:r>
      <w:r>
        <w:rPr>
          <w:rFonts w:ascii="Arial" w:hAnsi="Arial" w:cs="Arial"/>
        </w:rPr>
        <w:t>, foram adequadamente cumpridas, ressalvando alguns projetos/atividades que no decorrer do exercício foram considerados irrelevantes face aos demais projetos/atividades executados</w:t>
      </w:r>
      <w:r w:rsidR="00381292">
        <w:rPr>
          <w:rFonts w:ascii="Arial" w:hAnsi="Arial" w:cs="Arial"/>
        </w:rPr>
        <w:t>, principalmente aqueles relacionados a recuperação dos danos causados pelos eventos climáticos de chuvas intensas.</w:t>
      </w:r>
    </w:p>
    <w:p w:rsidR="00256DAE" w:rsidRDefault="00256DAE" w:rsidP="009C7078">
      <w:pPr>
        <w:pStyle w:val="Recuodecorpodetexto"/>
        <w:spacing w:line="360" w:lineRule="auto"/>
        <w:ind w:firstLine="3402"/>
        <w:rPr>
          <w:rFonts w:ascii="Arial" w:hAnsi="Arial" w:cs="Arial"/>
        </w:rPr>
      </w:pPr>
    </w:p>
    <w:p w:rsidR="009C7078" w:rsidRDefault="009C7078" w:rsidP="009C7078">
      <w:pPr>
        <w:spacing w:line="360" w:lineRule="auto"/>
        <w:ind w:firstLine="3402"/>
        <w:jc w:val="both"/>
        <w:rPr>
          <w:rFonts w:ascii="Arial" w:hAnsi="Arial" w:cs="Arial"/>
        </w:rPr>
      </w:pPr>
      <w:r>
        <w:rPr>
          <w:rFonts w:ascii="Arial" w:hAnsi="Arial" w:cs="Arial"/>
        </w:rPr>
        <w:t>De outra parte, no que se refere à legalidade dos atos de gestão orçamentária, financeira e patrimonial, salvo melhor juízo, foi ela observada. Quanto à eficácia, da gestão, os resultados obtidos foram os previstos nas leis orçamentárias com proveito para a coletividade atendida.</w:t>
      </w:r>
    </w:p>
    <w:p w:rsidR="00256DAE" w:rsidRDefault="00256DAE" w:rsidP="009C7078">
      <w:pPr>
        <w:spacing w:line="360" w:lineRule="auto"/>
        <w:ind w:firstLine="3402"/>
        <w:jc w:val="both"/>
        <w:rPr>
          <w:rFonts w:ascii="Arial" w:hAnsi="Arial" w:cs="Arial"/>
        </w:rPr>
      </w:pPr>
    </w:p>
    <w:p w:rsidR="009C7078" w:rsidRDefault="009C7078" w:rsidP="009C7078">
      <w:pPr>
        <w:spacing w:line="360" w:lineRule="auto"/>
        <w:ind w:firstLine="3402"/>
        <w:jc w:val="both"/>
        <w:rPr>
          <w:rFonts w:ascii="Arial" w:hAnsi="Arial" w:cs="Arial"/>
        </w:rPr>
      </w:pPr>
      <w:r>
        <w:rPr>
          <w:rFonts w:ascii="Arial" w:hAnsi="Arial" w:cs="Arial"/>
        </w:rPr>
        <w:t>Em relação à aplicação de recursos públicos por entidades de direito privado, nota-se que o Município não concedeu subvenções sociais.</w:t>
      </w:r>
    </w:p>
    <w:p w:rsidR="009C7078" w:rsidRDefault="009C7078" w:rsidP="009C7078">
      <w:pPr>
        <w:spacing w:line="360" w:lineRule="auto"/>
        <w:ind w:firstLine="3402"/>
        <w:jc w:val="both"/>
        <w:rPr>
          <w:rFonts w:ascii="Arial" w:hAnsi="Arial" w:cs="Arial"/>
        </w:rPr>
      </w:pPr>
    </w:p>
    <w:p w:rsidR="00256DAE" w:rsidRDefault="00256DAE" w:rsidP="009C7078">
      <w:pPr>
        <w:spacing w:line="360" w:lineRule="auto"/>
        <w:ind w:firstLine="3402"/>
        <w:jc w:val="both"/>
        <w:rPr>
          <w:rFonts w:ascii="Arial" w:hAnsi="Arial" w:cs="Arial"/>
        </w:rPr>
      </w:pPr>
    </w:p>
    <w:p w:rsidR="00256DAE" w:rsidRDefault="00256DAE" w:rsidP="009C7078">
      <w:pPr>
        <w:spacing w:line="360" w:lineRule="auto"/>
        <w:ind w:firstLine="3402"/>
        <w:jc w:val="both"/>
        <w:rPr>
          <w:rFonts w:ascii="Arial" w:hAnsi="Arial" w:cs="Arial"/>
        </w:rPr>
      </w:pPr>
    </w:p>
    <w:p w:rsidR="009C7078" w:rsidRDefault="009C7078" w:rsidP="009C7078">
      <w:pPr>
        <w:spacing w:line="360" w:lineRule="auto"/>
        <w:ind w:firstLine="3402"/>
        <w:jc w:val="both"/>
        <w:rPr>
          <w:rFonts w:ascii="Arial" w:hAnsi="Arial" w:cs="Arial"/>
        </w:rPr>
      </w:pPr>
      <w:r>
        <w:rPr>
          <w:rFonts w:ascii="Arial" w:hAnsi="Arial" w:cs="Arial"/>
        </w:rPr>
        <w:t>É o relatório e parecer.</w:t>
      </w:r>
    </w:p>
    <w:p w:rsidR="009C7078" w:rsidRDefault="009C7078" w:rsidP="009C7078">
      <w:pPr>
        <w:spacing w:line="360" w:lineRule="auto"/>
        <w:jc w:val="center"/>
        <w:rPr>
          <w:rFonts w:ascii="Arial" w:hAnsi="Arial" w:cs="Arial"/>
        </w:rPr>
      </w:pPr>
    </w:p>
    <w:p w:rsidR="009C7078" w:rsidRDefault="009C7078" w:rsidP="009C7078">
      <w:pPr>
        <w:spacing w:line="360" w:lineRule="auto"/>
        <w:jc w:val="center"/>
        <w:rPr>
          <w:rFonts w:ascii="Arial" w:hAnsi="Arial" w:cs="Arial"/>
        </w:rPr>
      </w:pPr>
      <w:r>
        <w:rPr>
          <w:rFonts w:ascii="Arial" w:hAnsi="Arial" w:cs="Arial"/>
        </w:rPr>
        <w:t xml:space="preserve">Dona Francisca, aos </w:t>
      </w:r>
      <w:r w:rsidR="00381292">
        <w:rPr>
          <w:rFonts w:ascii="Arial" w:hAnsi="Arial" w:cs="Arial"/>
        </w:rPr>
        <w:t>31</w:t>
      </w:r>
      <w:r>
        <w:rPr>
          <w:rFonts w:ascii="Arial" w:hAnsi="Arial" w:cs="Arial"/>
        </w:rPr>
        <w:t xml:space="preserve"> de </w:t>
      </w:r>
      <w:r w:rsidR="00381292">
        <w:rPr>
          <w:rFonts w:ascii="Arial" w:hAnsi="Arial" w:cs="Arial"/>
        </w:rPr>
        <w:t>dezembro</w:t>
      </w:r>
      <w:r>
        <w:rPr>
          <w:rFonts w:ascii="Arial" w:hAnsi="Arial" w:cs="Arial"/>
        </w:rPr>
        <w:t xml:space="preserve"> de 2024.</w:t>
      </w:r>
    </w:p>
    <w:p w:rsidR="009C7078" w:rsidRDefault="009C7078" w:rsidP="009C7078">
      <w:pPr>
        <w:spacing w:line="360" w:lineRule="auto"/>
        <w:jc w:val="center"/>
        <w:rPr>
          <w:rFonts w:ascii="Arial" w:hAnsi="Arial" w:cs="Arial"/>
        </w:rPr>
      </w:pPr>
    </w:p>
    <w:p w:rsidR="00381292" w:rsidRDefault="00381292" w:rsidP="009C7078">
      <w:pPr>
        <w:spacing w:line="360" w:lineRule="auto"/>
        <w:jc w:val="center"/>
        <w:rPr>
          <w:rFonts w:ascii="Arial" w:hAnsi="Arial" w:cs="Arial"/>
        </w:rPr>
      </w:pPr>
    </w:p>
    <w:p w:rsidR="00381292" w:rsidRDefault="00381292" w:rsidP="009C7078">
      <w:pPr>
        <w:spacing w:line="360" w:lineRule="auto"/>
        <w:jc w:val="center"/>
        <w:rPr>
          <w:rFonts w:ascii="Arial" w:hAnsi="Arial" w:cs="Arial"/>
        </w:rPr>
      </w:pPr>
    </w:p>
    <w:p w:rsidR="009C7078" w:rsidRDefault="009C7078" w:rsidP="009C7078">
      <w:pPr>
        <w:jc w:val="center"/>
        <w:rPr>
          <w:rFonts w:ascii="Arial" w:hAnsi="Arial" w:cs="Arial"/>
        </w:rPr>
      </w:pPr>
      <w:r>
        <w:rPr>
          <w:rFonts w:ascii="Arial" w:hAnsi="Arial" w:cs="Arial"/>
        </w:rPr>
        <w:t>Airton Lorenzoni</w:t>
      </w:r>
    </w:p>
    <w:p w:rsidR="00435D9E" w:rsidRPr="00A369BC" w:rsidRDefault="009C7078" w:rsidP="00381292">
      <w:pPr>
        <w:pStyle w:val="Recuodecorpodetexto"/>
        <w:ind w:firstLine="0"/>
        <w:jc w:val="center"/>
      </w:pPr>
      <w:r>
        <w:rPr>
          <w:rFonts w:ascii="Arial" w:hAnsi="Arial" w:cs="Arial"/>
        </w:rPr>
        <w:t>Coordenador do Departamento</w:t>
      </w:r>
      <w:r w:rsidR="00381292">
        <w:rPr>
          <w:rFonts w:ascii="Arial" w:hAnsi="Arial" w:cs="Arial"/>
        </w:rPr>
        <w:t xml:space="preserve"> </w:t>
      </w:r>
      <w:r>
        <w:rPr>
          <w:rFonts w:ascii="Arial" w:hAnsi="Arial" w:cs="Arial"/>
        </w:rPr>
        <w:t>de Controle Interno</w:t>
      </w:r>
    </w:p>
    <w:sectPr w:rsidR="00435D9E" w:rsidRPr="00A369BC" w:rsidSect="004E1BE9">
      <w:headerReference w:type="default" r:id="rId7"/>
      <w:footerReference w:type="default" r:id="rId8"/>
      <w:pgSz w:w="11906" w:h="16838"/>
      <w:pgMar w:top="2694" w:right="849"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0B9" w:rsidRDefault="002250B9" w:rsidP="00A63DD0">
      <w:r>
        <w:separator/>
      </w:r>
    </w:p>
  </w:endnote>
  <w:endnote w:type="continuationSeparator" w:id="1">
    <w:p w:rsidR="002250B9" w:rsidRDefault="002250B9" w:rsidP="00A63DD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919" w:rsidRDefault="000628A7" w:rsidP="003E5919">
    <w:pPr>
      <w:pStyle w:val="Rodap"/>
      <w:tabs>
        <w:tab w:val="left" w:pos="3790"/>
        <w:tab w:val="right" w:pos="9356"/>
      </w:tabs>
      <w:jc w:val="right"/>
      <w:rPr>
        <w:rFonts w:ascii="Times New Roman" w:hAnsi="Times New Roman" w:cs="Times New Roman"/>
        <w:sz w:val="16"/>
        <w:szCs w:val="16"/>
      </w:rPr>
    </w:pPr>
    <w:r w:rsidRPr="003E5919">
      <w:rPr>
        <w:rFonts w:ascii="Times New Roman" w:hAnsi="Times New Roman" w:cs="Times New Roman"/>
        <w:sz w:val="16"/>
        <w:szCs w:val="16"/>
      </w:rPr>
      <w:fldChar w:fldCharType="begin"/>
    </w:r>
    <w:r w:rsidR="003E5919" w:rsidRPr="003E5919">
      <w:rPr>
        <w:rFonts w:ascii="Times New Roman" w:hAnsi="Times New Roman" w:cs="Times New Roman"/>
        <w:sz w:val="16"/>
        <w:szCs w:val="16"/>
      </w:rPr>
      <w:instrText>PAGE  \* Arabic  \* MERGEFORMAT</w:instrText>
    </w:r>
    <w:r w:rsidRPr="003E5919">
      <w:rPr>
        <w:rFonts w:ascii="Times New Roman" w:hAnsi="Times New Roman" w:cs="Times New Roman"/>
        <w:sz w:val="16"/>
        <w:szCs w:val="16"/>
      </w:rPr>
      <w:fldChar w:fldCharType="separate"/>
    </w:r>
    <w:r w:rsidR="00256DAE">
      <w:rPr>
        <w:rFonts w:ascii="Times New Roman" w:hAnsi="Times New Roman" w:cs="Times New Roman"/>
        <w:noProof/>
        <w:sz w:val="16"/>
        <w:szCs w:val="16"/>
      </w:rPr>
      <w:t>2</w:t>
    </w:r>
    <w:r w:rsidRPr="003E5919">
      <w:rPr>
        <w:rFonts w:ascii="Times New Roman" w:hAnsi="Times New Roman" w:cs="Times New Roman"/>
        <w:sz w:val="16"/>
        <w:szCs w:val="16"/>
      </w:rPr>
      <w:fldChar w:fldCharType="end"/>
    </w:r>
    <w:r w:rsidR="003E5919" w:rsidRPr="003E5919">
      <w:rPr>
        <w:rFonts w:ascii="Times New Roman" w:hAnsi="Times New Roman" w:cs="Times New Roman"/>
        <w:sz w:val="16"/>
        <w:szCs w:val="16"/>
      </w:rPr>
      <w:t xml:space="preserve"> de </w:t>
    </w:r>
    <w:r w:rsidRPr="003E5919">
      <w:rPr>
        <w:rFonts w:ascii="Times New Roman" w:hAnsi="Times New Roman" w:cs="Times New Roman"/>
        <w:sz w:val="16"/>
        <w:szCs w:val="16"/>
      </w:rPr>
      <w:fldChar w:fldCharType="begin"/>
    </w:r>
    <w:r w:rsidR="003E5919" w:rsidRPr="003E5919">
      <w:rPr>
        <w:rFonts w:ascii="Times New Roman" w:hAnsi="Times New Roman" w:cs="Times New Roman"/>
        <w:sz w:val="16"/>
        <w:szCs w:val="16"/>
      </w:rPr>
      <w:instrText>NUMPAGES \ * Arábico \ * MERGEFORMAT</w:instrText>
    </w:r>
    <w:r w:rsidRPr="003E5919">
      <w:rPr>
        <w:rFonts w:ascii="Times New Roman" w:hAnsi="Times New Roman" w:cs="Times New Roman"/>
        <w:sz w:val="16"/>
        <w:szCs w:val="16"/>
      </w:rPr>
      <w:fldChar w:fldCharType="separate"/>
    </w:r>
    <w:r w:rsidR="00256DAE">
      <w:rPr>
        <w:rFonts w:ascii="Times New Roman" w:hAnsi="Times New Roman" w:cs="Times New Roman"/>
        <w:noProof/>
        <w:sz w:val="16"/>
        <w:szCs w:val="16"/>
      </w:rPr>
      <w:t>7</w:t>
    </w:r>
    <w:r w:rsidRPr="003E5919">
      <w:rPr>
        <w:rFonts w:ascii="Times New Roman" w:hAnsi="Times New Roman" w:cs="Times New Roman"/>
        <w:sz w:val="16"/>
        <w:szCs w:val="16"/>
      </w:rPr>
      <w:fldChar w:fldCharType="end"/>
    </w:r>
  </w:p>
  <w:p w:rsidR="003E5919" w:rsidRPr="001A6706" w:rsidRDefault="00917726" w:rsidP="003E5919">
    <w:pPr>
      <w:pStyle w:val="Rodap"/>
      <w:tabs>
        <w:tab w:val="left" w:pos="3790"/>
        <w:tab w:val="right" w:pos="9356"/>
      </w:tabs>
      <w:jc w:val="center"/>
      <w:rPr>
        <w:rFonts w:ascii="Times New Roman" w:hAnsi="Times New Roman" w:cs="Times New Roman"/>
        <w:sz w:val="24"/>
        <w:szCs w:val="24"/>
      </w:rPr>
    </w:pPr>
    <w:r w:rsidRPr="001A6706">
      <w:rPr>
        <w:rFonts w:ascii="Times New Roman" w:hAnsi="Times New Roman" w:cs="Times New Roman"/>
        <w:sz w:val="24"/>
        <w:szCs w:val="24"/>
      </w:rPr>
      <w:t>Rua do Comércio</w:t>
    </w:r>
    <w:r w:rsidR="003E5919" w:rsidRPr="001A6706">
      <w:rPr>
        <w:rFonts w:ascii="Times New Roman" w:hAnsi="Times New Roman" w:cs="Times New Roman"/>
        <w:sz w:val="24"/>
        <w:szCs w:val="24"/>
      </w:rPr>
      <w:t xml:space="preserve">, 619 </w:t>
    </w:r>
    <w:r w:rsidR="003E5919" w:rsidRPr="001A6706">
      <w:rPr>
        <w:rFonts w:ascii="Times New Roman" w:hAnsi="Times New Roman" w:cs="Times New Roman"/>
        <w:sz w:val="24"/>
        <w:szCs w:val="24"/>
      </w:rPr>
      <w:sym w:font="Symbol" w:char="F07C"/>
    </w:r>
    <w:r w:rsidR="003E5919" w:rsidRPr="001A6706">
      <w:rPr>
        <w:rFonts w:ascii="Times New Roman" w:hAnsi="Times New Roman" w:cs="Times New Roman"/>
        <w:sz w:val="24"/>
        <w:szCs w:val="24"/>
      </w:rPr>
      <w:t xml:space="preserve"> Fones: (55) 3268-1133 / 3268-1578 </w:t>
    </w:r>
    <w:r w:rsidR="003E5919" w:rsidRPr="001A6706">
      <w:rPr>
        <w:rFonts w:ascii="Times New Roman" w:hAnsi="Times New Roman" w:cs="Times New Roman"/>
        <w:sz w:val="24"/>
        <w:szCs w:val="24"/>
      </w:rPr>
      <w:sym w:font="Symbol" w:char="F07C"/>
    </w:r>
    <w:r w:rsidR="003E5919" w:rsidRPr="001A6706">
      <w:rPr>
        <w:rFonts w:ascii="Times New Roman" w:hAnsi="Times New Roman" w:cs="Times New Roman"/>
        <w:sz w:val="24"/>
        <w:szCs w:val="24"/>
      </w:rPr>
      <w:t xml:space="preserve"> DONA FRANCISCA</w:t>
    </w:r>
  </w:p>
  <w:p w:rsidR="00A63DD0" w:rsidRPr="003E5919" w:rsidRDefault="000628A7" w:rsidP="003E5919">
    <w:pPr>
      <w:pStyle w:val="Rodap"/>
      <w:tabs>
        <w:tab w:val="left" w:pos="3790"/>
        <w:tab w:val="right" w:pos="9356"/>
      </w:tabs>
      <w:jc w:val="center"/>
      <w:rPr>
        <w:rFonts w:ascii="Times New Roman" w:hAnsi="Times New Roman" w:cs="Times New Roman"/>
        <w:sz w:val="20"/>
        <w:szCs w:val="20"/>
      </w:rPr>
    </w:pPr>
    <w:r w:rsidRPr="000628A7">
      <w:rPr>
        <w:rFonts w:ascii="Times New Roman" w:hAnsi="Times New Roman" w:cs="Times New Roman"/>
        <w:noProof/>
        <w:sz w:val="24"/>
        <w:szCs w:val="24"/>
        <w:lang w:eastAsia="pt-BR"/>
      </w:rPr>
      <w:pict>
        <v:rect id="Retângulo 10" o:spid="_x0000_s8194" style="position:absolute;left:0;text-align:left;margin-left:-93.8pt;margin-top:21.85pt;width:607.15pt;height:7.7pt;rotation:180;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" fillcolor="#4472c4 [3208]" strokecolor="#4472c4 [3208]" strokeweight="1pt"/>
      </w:pict>
    </w:r>
    <w:r w:rsidRPr="000628A7">
      <w:rPr>
        <w:rFonts w:ascii="Times New Roman" w:hAnsi="Times New Roman" w:cs="Times New Roman"/>
        <w:noProof/>
        <w:sz w:val="24"/>
        <w:szCs w:val="24"/>
        <w:lang w:eastAsia="pt-BR"/>
      </w:rPr>
      <w:pict>
        <v:rect id="Retângulo 11" o:spid="_x0000_s8193" style="position:absolute;left:0;text-align:left;margin-left:-96.95pt;margin-top:13.7pt;width:607.15pt;height:3.9pt;rotation:180;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" fillcolor="#92d050" strokecolor="#92d050" strokeweight="1pt"/>
      </w:pict>
    </w:r>
    <w:r w:rsidR="003E5919" w:rsidRPr="001A6706">
      <w:rPr>
        <w:rFonts w:ascii="Times New Roman" w:hAnsi="Times New Roman" w:cs="Times New Roman"/>
        <w:sz w:val="24"/>
        <w:szCs w:val="24"/>
      </w:rPr>
      <w:t>E-mail: donafrancisca</w:t>
    </w:r>
    <w:r w:rsidR="001A6706">
      <w:rPr>
        <w:rFonts w:ascii="Times New Roman" w:hAnsi="Times New Roman" w:cs="Times New Roman"/>
        <w:sz w:val="24"/>
        <w:szCs w:val="24"/>
      </w:rPr>
      <w:t>@donafrancisca</w:t>
    </w:r>
    <w:r w:rsidR="003E5919" w:rsidRPr="001A6706">
      <w:rPr>
        <w:rFonts w:ascii="Times New Roman" w:hAnsi="Times New Roman" w:cs="Times New Roman"/>
        <w:sz w:val="24"/>
        <w:szCs w:val="24"/>
      </w:rPr>
      <w:t>.rs.gov.br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0B9" w:rsidRDefault="002250B9" w:rsidP="00A63DD0">
      <w:r>
        <w:separator/>
      </w:r>
    </w:p>
  </w:footnote>
  <w:footnote w:type="continuationSeparator" w:id="1">
    <w:p w:rsidR="002250B9" w:rsidRDefault="002250B9" w:rsidP="00A63D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71D" w:rsidRDefault="000628A7" w:rsidP="0024071D">
    <w:pPr>
      <w:pStyle w:val="Cabealho"/>
      <w:rPr>
        <w:sz w:val="18"/>
        <w:szCs w:val="18"/>
      </w:rPr>
    </w:pPr>
    <w:r w:rsidRPr="000628A7">
      <w:rPr>
        <w:noProof/>
        <w:lang w:eastAsia="pt-BR"/>
      </w:rPr>
      <w:pict>
        <v:rect id="Retângulo 1" o:spid="_x0000_s8196" style="position:absolute;margin-left:-91.3pt;margin-top:-19.1pt;width:607.15pt;height:7.7pt;z-index:251655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" fillcolor="#4472c4 [3208]" strokecolor="#4472c4 [3208]" strokeweight="1pt"/>
      </w:pict>
    </w:r>
    <w:r w:rsidRPr="000628A7">
      <w:rPr>
        <w:noProof/>
        <w:lang w:eastAsia="pt-BR"/>
      </w:rPr>
      <w:pict>
        <v:rect id="Retângulo 2" o:spid="_x0000_s8195" style="position:absolute;margin-left:-88.2pt;margin-top:-7.25pt;width:607.15pt;height:3.9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" fillcolor="#92d050" strokecolor="#92d050" strokeweight="1pt"/>
      </w:pict>
    </w:r>
    <w:r w:rsidR="0024071D">
      <w:rPr>
        <w:noProof/>
        <w:lang w:eastAsia="pt-BR"/>
      </w:rPr>
      <w:drawing>
        <wp:anchor distT="0" distB="0" distL="114300" distR="114300" simplePos="0" relativeHeight="251664384" behindDoc="1" locked="0" layoutInCell="1" allowOverlap="1">
          <wp:simplePos x="0" y="0"/>
          <wp:positionH relativeFrom="column">
            <wp:posOffset>880339</wp:posOffset>
          </wp:positionH>
          <wp:positionV relativeFrom="paragraph">
            <wp:posOffset>3962</wp:posOffset>
          </wp:positionV>
          <wp:extent cx="1081468" cy="1125779"/>
          <wp:effectExtent l="0" t="0" r="4445" b="0"/>
          <wp:wrapNone/>
          <wp:docPr id="33" name="Imagem 33" descr="Prefeitura Municipal de Dona Francisca - RS | Prefeitu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Dona Francisca - RS | Prefeitura ..."/>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8685" cy="1154111"/>
                  </a:xfrm>
                  <a:prstGeom prst="rect">
                    <a:avLst/>
                  </a:prstGeom>
                  <a:noFill/>
                  <a:ln>
                    <a:noFill/>
                  </a:ln>
                </pic:spPr>
              </pic:pic>
            </a:graphicData>
          </a:graphic>
        </wp:anchor>
      </w:drawing>
    </w:r>
    <w:r w:rsidR="0024071D">
      <w:rPr>
        <w:sz w:val="18"/>
        <w:szCs w:val="18"/>
      </w:rPr>
      <w:t xml:space="preserve">                                                                         </w:t>
    </w:r>
    <w:r w:rsidR="0024071D" w:rsidRPr="0024071D">
      <w:rPr>
        <w:sz w:val="18"/>
        <w:szCs w:val="18"/>
      </w:rPr>
      <w:t xml:space="preserve">  </w:t>
    </w:r>
    <w:r w:rsidR="0024071D">
      <w:rPr>
        <w:sz w:val="18"/>
        <w:szCs w:val="18"/>
      </w:rPr>
      <w:t xml:space="preserve"> </w:t>
    </w:r>
    <w:r w:rsidR="0024071D" w:rsidRPr="0024071D">
      <w:rPr>
        <w:sz w:val="18"/>
        <w:szCs w:val="18"/>
      </w:rPr>
      <w:t xml:space="preserve">  </w:t>
    </w:r>
    <w:r w:rsidR="0024071D">
      <w:rPr>
        <w:sz w:val="18"/>
        <w:szCs w:val="18"/>
      </w:rPr>
      <w:t xml:space="preserve">  </w:t>
    </w:r>
    <w:r w:rsidR="0024071D" w:rsidRPr="0024071D">
      <w:rPr>
        <w:sz w:val="18"/>
        <w:szCs w:val="18"/>
      </w:rPr>
      <w:t xml:space="preserve">  </w:t>
    </w:r>
  </w:p>
  <w:p w:rsidR="00A63DD0" w:rsidRPr="004E1BE9" w:rsidRDefault="0024071D" w:rsidP="0024071D">
    <w:pPr>
      <w:pStyle w:val="Cabealho"/>
      <w:rPr>
        <w:rFonts w:ascii="Times New Roman" w:hAnsi="Times New Roman" w:cs="Times New Roman"/>
      </w:rPr>
    </w:pPr>
    <w:r>
      <w:rPr>
        <w:sz w:val="18"/>
        <w:szCs w:val="18"/>
      </w:rPr>
      <w:t xml:space="preserve">                                                                                  </w:t>
    </w:r>
    <w:r w:rsidRPr="004E1BE9">
      <w:rPr>
        <w:rFonts w:ascii="Times New Roman" w:hAnsi="Times New Roman" w:cs="Times New Roman"/>
      </w:rPr>
      <w:t>ESTADO DO RIO GRANDE DO SUL</w:t>
    </w:r>
  </w:p>
  <w:p w:rsidR="0024071D" w:rsidRPr="004E1BE9" w:rsidRDefault="0024071D" w:rsidP="0024071D">
    <w:pPr>
      <w:pStyle w:val="Cabealho"/>
      <w:tabs>
        <w:tab w:val="left" w:pos="3686"/>
      </w:tabs>
      <w:jc w:val="center"/>
      <w:rPr>
        <w:rFonts w:ascii="Times New Roman" w:hAnsi="Times New Roman" w:cs="Times New Roman"/>
        <w:sz w:val="28"/>
        <w:szCs w:val="28"/>
      </w:rPr>
    </w:pPr>
    <w:r w:rsidRPr="004E1BE9">
      <w:rPr>
        <w:rFonts w:ascii="Times New Roman" w:hAnsi="Times New Roman" w:cs="Times New Roman"/>
        <w:sz w:val="26"/>
        <w:szCs w:val="26"/>
      </w:rPr>
      <w:t xml:space="preserve">              </w:t>
    </w:r>
    <w:r w:rsidR="00917726" w:rsidRPr="004E1BE9">
      <w:rPr>
        <w:rFonts w:ascii="Times New Roman" w:hAnsi="Times New Roman" w:cs="Times New Roman"/>
        <w:sz w:val="26"/>
        <w:szCs w:val="26"/>
      </w:rPr>
      <w:t xml:space="preserve">    </w:t>
    </w:r>
    <w:r w:rsidR="004E1BE9" w:rsidRPr="004E1BE9">
      <w:rPr>
        <w:rFonts w:ascii="Times New Roman" w:hAnsi="Times New Roman" w:cs="Times New Roman"/>
        <w:sz w:val="26"/>
        <w:szCs w:val="26"/>
      </w:rPr>
      <w:t xml:space="preserve">         </w:t>
    </w:r>
    <w:r w:rsidRPr="004E1BE9">
      <w:rPr>
        <w:rFonts w:ascii="Times New Roman" w:hAnsi="Times New Roman" w:cs="Times New Roman"/>
        <w:sz w:val="28"/>
        <w:szCs w:val="28"/>
      </w:rPr>
      <w:t>MUNICÍPIO DE DONA FRANCISCA</w:t>
    </w:r>
  </w:p>
  <w:p w:rsidR="0024071D" w:rsidRPr="004E1BE9" w:rsidRDefault="0024071D" w:rsidP="0024071D">
    <w:pPr>
      <w:pStyle w:val="Cabealho"/>
      <w:tabs>
        <w:tab w:val="left" w:pos="978"/>
        <w:tab w:val="left" w:pos="3686"/>
      </w:tabs>
      <w:rPr>
        <w:rFonts w:ascii="Times New Roman" w:hAnsi="Times New Roman" w:cs="Times New Roman"/>
        <w:b/>
        <w:i/>
        <w:sz w:val="24"/>
        <w:szCs w:val="24"/>
      </w:rPr>
    </w:pPr>
    <w:r w:rsidRPr="004E1BE9">
      <w:rPr>
        <w:b/>
        <w:i/>
        <w:sz w:val="24"/>
        <w:szCs w:val="24"/>
      </w:rPr>
      <w:tab/>
      <w:t xml:space="preserve">                                           </w:t>
    </w:r>
    <w:r w:rsidR="006967CF" w:rsidRPr="004E1BE9">
      <w:rPr>
        <w:rFonts w:ascii="Times New Roman" w:hAnsi="Times New Roman" w:cs="Times New Roman"/>
        <w:b/>
        <w:i/>
        <w:sz w:val="24"/>
        <w:szCs w:val="24"/>
      </w:rPr>
      <w:t>Construindo</w:t>
    </w:r>
    <w:r w:rsidRPr="004E1BE9">
      <w:rPr>
        <w:rFonts w:ascii="Times New Roman" w:hAnsi="Times New Roman" w:cs="Times New Roman"/>
        <w:b/>
        <w:i/>
        <w:sz w:val="24"/>
        <w:szCs w:val="24"/>
      </w:rPr>
      <w:t xml:space="preserve"> um Novo Tempo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B00C5C"/>
    <w:multiLevelType w:val="singleLevel"/>
    <w:tmpl w:val="CAB07E24"/>
    <w:lvl w:ilvl="0">
      <w:start w:val="1"/>
      <w:numFmt w:val="lowerLetter"/>
      <w:lvlText w:val="%1)"/>
      <w:lvlJc w:val="left"/>
      <w:pPr>
        <w:tabs>
          <w:tab w:val="num" w:pos="4188"/>
        </w:tabs>
        <w:ind w:left="4188" w:hanging="360"/>
      </w:pPr>
    </w:lvl>
  </w:abstractNum>
  <w:abstractNum w:abstractNumId="1">
    <w:nsid w:val="45BB4B3B"/>
    <w:multiLevelType w:val="singleLevel"/>
    <w:tmpl w:val="AD7C1870"/>
    <w:lvl w:ilvl="0">
      <w:start w:val="1"/>
      <w:numFmt w:val="decimal"/>
      <w:lvlText w:val="%1."/>
      <w:lvlJc w:val="left"/>
      <w:pPr>
        <w:tabs>
          <w:tab w:val="num" w:pos="4188"/>
        </w:tabs>
        <w:ind w:left="4188" w:hanging="360"/>
      </w:pPr>
    </w:lvl>
  </w:abstractNum>
  <w:abstractNum w:abstractNumId="2">
    <w:nsid w:val="477053EC"/>
    <w:multiLevelType w:val="singleLevel"/>
    <w:tmpl w:val="AD7C1870"/>
    <w:lvl w:ilvl="0">
      <w:start w:val="1"/>
      <w:numFmt w:val="decimal"/>
      <w:lvlText w:val="%1."/>
      <w:lvlJc w:val="left"/>
      <w:pPr>
        <w:tabs>
          <w:tab w:val="num" w:pos="4188"/>
        </w:tabs>
        <w:ind w:left="4188" w:hanging="360"/>
      </w:pPr>
    </w:lvl>
  </w:abstractNum>
  <w:abstractNum w:abstractNumId="3">
    <w:nsid w:val="674C25C3"/>
    <w:multiLevelType w:val="singleLevel"/>
    <w:tmpl w:val="B7607790"/>
    <w:lvl w:ilvl="0">
      <w:start w:val="1"/>
      <w:numFmt w:val="lowerLetter"/>
      <w:lvlText w:val="%1)"/>
      <w:lvlJc w:val="left"/>
      <w:pPr>
        <w:tabs>
          <w:tab w:val="num" w:pos="4188"/>
        </w:tabs>
        <w:ind w:left="4188" w:hanging="360"/>
      </w:pPr>
    </w:lvl>
  </w:abstractNum>
  <w:abstractNum w:abstractNumId="4">
    <w:nsid w:val="7FF10936"/>
    <w:multiLevelType w:val="hybridMultilevel"/>
    <w:tmpl w:val="66D21DA6"/>
    <w:lvl w:ilvl="0" w:tplc="04160017">
      <w:start w:val="2"/>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2"/>
    <w:lvlOverride w:ilvl="0">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3"/>
    <w:lvlOverride w:ilvl="0">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o:shapelayout v:ext="edit">
      <o:idmap v:ext="edit" data="8"/>
    </o:shapelayout>
  </w:hdrShapeDefaults>
  <w:footnotePr>
    <w:footnote w:id="0"/>
    <w:footnote w:id="1"/>
  </w:footnotePr>
  <w:endnotePr>
    <w:endnote w:id="0"/>
    <w:endnote w:id="1"/>
  </w:endnotePr>
  <w:compat/>
  <w:rsids>
    <w:rsidRoot w:val="007E64B9"/>
    <w:rsid w:val="000628A7"/>
    <w:rsid w:val="001543EA"/>
    <w:rsid w:val="001A204F"/>
    <w:rsid w:val="001A6706"/>
    <w:rsid w:val="00204E46"/>
    <w:rsid w:val="002250B9"/>
    <w:rsid w:val="0024071D"/>
    <w:rsid w:val="00256DAE"/>
    <w:rsid w:val="00313169"/>
    <w:rsid w:val="00381292"/>
    <w:rsid w:val="003C7CF1"/>
    <w:rsid w:val="003E5919"/>
    <w:rsid w:val="00435D9E"/>
    <w:rsid w:val="00441CBA"/>
    <w:rsid w:val="004E1BE9"/>
    <w:rsid w:val="004F5D9B"/>
    <w:rsid w:val="00547EF5"/>
    <w:rsid w:val="006967CF"/>
    <w:rsid w:val="006B570C"/>
    <w:rsid w:val="007E64B9"/>
    <w:rsid w:val="008153F6"/>
    <w:rsid w:val="00914193"/>
    <w:rsid w:val="00917726"/>
    <w:rsid w:val="00960B3A"/>
    <w:rsid w:val="009B0F93"/>
    <w:rsid w:val="009C7078"/>
    <w:rsid w:val="00A369BC"/>
    <w:rsid w:val="00A63DD0"/>
    <w:rsid w:val="00AC41EE"/>
    <w:rsid w:val="00C572CE"/>
    <w:rsid w:val="00C832FC"/>
    <w:rsid w:val="00C85DDE"/>
    <w:rsid w:val="00DA54B5"/>
    <w:rsid w:val="00E10DE6"/>
    <w:rsid w:val="00E514FE"/>
    <w:rsid w:val="00EC2C43"/>
    <w:rsid w:val="00F14EFE"/>
    <w:rsid w:val="00FB654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7C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967CF"/>
    <w:pPr>
      <w:keepNext/>
      <w:jc w:val="center"/>
      <w:outlineLvl w:val="0"/>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63DD0"/>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63DD0"/>
  </w:style>
  <w:style w:type="paragraph" w:styleId="Rodap">
    <w:name w:val="footer"/>
    <w:basedOn w:val="Normal"/>
    <w:link w:val="RodapChar"/>
    <w:uiPriority w:val="99"/>
    <w:unhideWhenUsed/>
    <w:rsid w:val="00A63DD0"/>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A63DD0"/>
  </w:style>
  <w:style w:type="paragraph" w:styleId="Textodebalo">
    <w:name w:val="Balloon Text"/>
    <w:basedOn w:val="Normal"/>
    <w:link w:val="TextodebaloChar"/>
    <w:uiPriority w:val="99"/>
    <w:semiHidden/>
    <w:unhideWhenUsed/>
    <w:rsid w:val="00917726"/>
    <w:rPr>
      <w:rFonts w:ascii="Segoe UI" w:hAnsi="Segoe UI" w:cs="Segoe UI"/>
      <w:sz w:val="18"/>
      <w:szCs w:val="18"/>
    </w:rPr>
  </w:style>
  <w:style w:type="character" w:customStyle="1" w:styleId="TextodebaloChar">
    <w:name w:val="Texto de balão Char"/>
    <w:basedOn w:val="Fontepargpadro"/>
    <w:link w:val="Textodebalo"/>
    <w:uiPriority w:val="99"/>
    <w:semiHidden/>
    <w:rsid w:val="00917726"/>
    <w:rPr>
      <w:rFonts w:ascii="Segoe UI" w:hAnsi="Segoe UI" w:cs="Segoe UI"/>
      <w:sz w:val="18"/>
      <w:szCs w:val="18"/>
    </w:rPr>
  </w:style>
  <w:style w:type="character" w:customStyle="1" w:styleId="Ttulo1Char">
    <w:name w:val="Título 1 Char"/>
    <w:basedOn w:val="Fontepargpadro"/>
    <w:link w:val="Ttulo1"/>
    <w:rsid w:val="006967CF"/>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unhideWhenUsed/>
    <w:rsid w:val="009C7078"/>
    <w:pPr>
      <w:ind w:firstLine="3828"/>
      <w:jc w:val="both"/>
    </w:pPr>
  </w:style>
  <w:style w:type="character" w:customStyle="1" w:styleId="RecuodecorpodetextoChar">
    <w:name w:val="Recuo de corpo de texto Char"/>
    <w:basedOn w:val="Fontepargpadro"/>
    <w:link w:val="Recuodecorpodetexto"/>
    <w:rsid w:val="009C7078"/>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590892655">
      <w:bodyDiv w:val="1"/>
      <w:marLeft w:val="0"/>
      <w:marRight w:val="0"/>
      <w:marTop w:val="0"/>
      <w:marBottom w:val="0"/>
      <w:divBdr>
        <w:top w:val="none" w:sz="0" w:space="0" w:color="auto"/>
        <w:left w:val="none" w:sz="0" w:space="0" w:color="auto"/>
        <w:bottom w:val="none" w:sz="0" w:space="0" w:color="auto"/>
        <w:right w:val="none" w:sz="0" w:space="0" w:color="auto"/>
      </w:divBdr>
    </w:div>
    <w:div w:id="184242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7</Pages>
  <Words>1866</Words>
  <Characters>10077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Airton</cp:lastModifiedBy>
  <cp:revision>10</cp:revision>
  <cp:lastPrinted>2023-07-03T12:49:00Z</cp:lastPrinted>
  <dcterms:created xsi:type="dcterms:W3CDTF">2024-03-18T11:51:00Z</dcterms:created>
  <dcterms:modified xsi:type="dcterms:W3CDTF">2025-03-24T16:31:00Z</dcterms:modified>
</cp:coreProperties>
</file>