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7DA" w:rsidRPr="00CF55BE" w:rsidRDefault="002737DA" w:rsidP="00CF55BE">
      <w:pPr>
        <w:pStyle w:val="western"/>
        <w:spacing w:before="0" w:beforeAutospacing="0" w:line="360" w:lineRule="auto"/>
        <w:jc w:val="center"/>
        <w:rPr>
          <w:rFonts w:ascii="Arial" w:hAnsi="Arial" w:cs="Arial"/>
          <w:b/>
          <w:sz w:val="24"/>
          <w:szCs w:val="24"/>
        </w:rPr>
      </w:pPr>
      <w:r w:rsidRPr="00CF55BE">
        <w:rPr>
          <w:rFonts w:ascii="Arial" w:hAnsi="Arial" w:cs="Arial"/>
          <w:b/>
          <w:sz w:val="24"/>
          <w:szCs w:val="24"/>
        </w:rPr>
        <w:t>LEI MUNICIPAL nº 1.7</w:t>
      </w:r>
      <w:r w:rsidR="004D2583">
        <w:rPr>
          <w:rFonts w:ascii="Arial" w:hAnsi="Arial" w:cs="Arial"/>
          <w:b/>
          <w:sz w:val="24"/>
          <w:szCs w:val="24"/>
        </w:rPr>
        <w:t>8</w:t>
      </w:r>
      <w:r w:rsidR="00337E89">
        <w:rPr>
          <w:rFonts w:ascii="Arial" w:hAnsi="Arial" w:cs="Arial"/>
          <w:b/>
          <w:sz w:val="24"/>
          <w:szCs w:val="24"/>
        </w:rPr>
        <w:t>1</w:t>
      </w:r>
      <w:r w:rsidR="004D2583">
        <w:rPr>
          <w:rFonts w:ascii="Arial" w:hAnsi="Arial" w:cs="Arial"/>
          <w:b/>
          <w:sz w:val="24"/>
          <w:szCs w:val="24"/>
        </w:rPr>
        <w:t>/</w:t>
      </w:r>
      <w:r w:rsidRPr="00CF55BE">
        <w:rPr>
          <w:rFonts w:ascii="Arial" w:hAnsi="Arial" w:cs="Arial"/>
          <w:b/>
          <w:sz w:val="24"/>
          <w:szCs w:val="24"/>
        </w:rPr>
        <w:t>2020</w:t>
      </w:r>
    </w:p>
    <w:p w:rsidR="00EF0315" w:rsidRPr="00CF55BE" w:rsidRDefault="00EF0315" w:rsidP="004D2583">
      <w:pPr>
        <w:pStyle w:val="western"/>
        <w:spacing w:before="0" w:beforeAutospacing="0" w:line="360" w:lineRule="exact"/>
        <w:jc w:val="center"/>
        <w:rPr>
          <w:rFonts w:ascii="Arial" w:hAnsi="Arial" w:cs="Arial"/>
          <w:b/>
          <w:sz w:val="24"/>
          <w:szCs w:val="24"/>
        </w:rPr>
      </w:pPr>
    </w:p>
    <w:p w:rsidR="00B63A03" w:rsidRPr="00CF55BE" w:rsidRDefault="00605686" w:rsidP="004D2583">
      <w:pPr>
        <w:pStyle w:val="Recuodecorpodetexto2"/>
        <w:spacing w:line="360" w:lineRule="exact"/>
        <w:ind w:left="3969"/>
        <w:rPr>
          <w:rFonts w:ascii="Arial" w:hAnsi="Arial" w:cs="Arial"/>
          <w:iCs/>
          <w:sz w:val="24"/>
          <w:szCs w:val="24"/>
        </w:rPr>
      </w:pPr>
      <w:r w:rsidRPr="00CF55BE">
        <w:rPr>
          <w:rFonts w:ascii="Arial" w:hAnsi="Arial" w:cs="Arial"/>
          <w:iCs/>
          <w:sz w:val="24"/>
          <w:szCs w:val="24"/>
        </w:rPr>
        <w:t>“</w:t>
      </w:r>
      <w:r w:rsidR="00337E89" w:rsidRPr="00337E89">
        <w:rPr>
          <w:rFonts w:ascii="Arial" w:hAnsi="Arial" w:cs="Arial"/>
          <w:iCs/>
          <w:sz w:val="24"/>
          <w:szCs w:val="24"/>
        </w:rPr>
        <w:t>Dispõe sobre as diretrizes para a elaboração e execução da Lei Orçamentária de 2021</w:t>
      </w:r>
      <w:r w:rsidRPr="00CF55BE">
        <w:rPr>
          <w:rFonts w:ascii="Arial" w:hAnsi="Arial" w:cs="Arial"/>
          <w:iCs/>
          <w:sz w:val="24"/>
          <w:szCs w:val="24"/>
        </w:rPr>
        <w:t>.”</w:t>
      </w:r>
    </w:p>
    <w:p w:rsidR="00EF0315" w:rsidRPr="00CF55BE" w:rsidRDefault="00EF0315" w:rsidP="004D2583">
      <w:pPr>
        <w:pStyle w:val="Recuodecorpodetexto2"/>
        <w:spacing w:line="360" w:lineRule="exact"/>
        <w:ind w:left="3969"/>
        <w:rPr>
          <w:rFonts w:ascii="Arial" w:hAnsi="Arial" w:cs="Arial"/>
          <w:iCs/>
          <w:sz w:val="24"/>
          <w:szCs w:val="24"/>
        </w:rPr>
      </w:pPr>
    </w:p>
    <w:p w:rsidR="002737DA" w:rsidRDefault="002737DA" w:rsidP="004D2583">
      <w:pPr>
        <w:spacing w:line="360" w:lineRule="exact"/>
        <w:ind w:firstLine="2268"/>
        <w:jc w:val="both"/>
        <w:rPr>
          <w:rFonts w:ascii="Arial" w:hAnsi="Arial" w:cs="Arial"/>
          <w:bCs/>
          <w:sz w:val="24"/>
          <w:szCs w:val="24"/>
        </w:rPr>
      </w:pPr>
      <w:r w:rsidRPr="00CF55BE">
        <w:rPr>
          <w:rFonts w:ascii="Arial" w:hAnsi="Arial" w:cs="Arial"/>
          <w:b/>
          <w:sz w:val="24"/>
          <w:szCs w:val="24"/>
        </w:rPr>
        <w:t>EDALEO DALLA NORA</w:t>
      </w:r>
      <w:r w:rsidRPr="00CF55BE">
        <w:rPr>
          <w:rFonts w:ascii="Arial" w:hAnsi="Arial" w:cs="Arial"/>
          <w:bCs/>
          <w:sz w:val="24"/>
          <w:szCs w:val="24"/>
        </w:rPr>
        <w:t xml:space="preserve">, Prefeito Municipal de Dona Francisca, no uso das atribuições que me confere a Lei Orgânica Municipal, </w:t>
      </w:r>
      <w:r w:rsidRPr="00CF55BE">
        <w:rPr>
          <w:rFonts w:ascii="Arial" w:hAnsi="Arial" w:cs="Arial"/>
          <w:b/>
          <w:sz w:val="24"/>
          <w:szCs w:val="24"/>
        </w:rPr>
        <w:t>FAÇO SABER</w:t>
      </w:r>
      <w:r w:rsidRPr="00CF55BE">
        <w:rPr>
          <w:rFonts w:ascii="Arial" w:hAnsi="Arial" w:cs="Arial"/>
          <w:bCs/>
          <w:sz w:val="24"/>
          <w:szCs w:val="24"/>
        </w:rPr>
        <w:t xml:space="preserve"> que a Câmara Municipal de Vereadores aprovou e eu sanciono e promulgo a seguinte LEI:</w:t>
      </w:r>
    </w:p>
    <w:p w:rsidR="00337E89" w:rsidRDefault="00337E89" w:rsidP="00337E89">
      <w:pPr>
        <w:spacing w:line="360" w:lineRule="exact"/>
        <w:jc w:val="both"/>
        <w:rPr>
          <w:rFonts w:ascii="Arial" w:hAnsi="Arial" w:cs="Arial"/>
          <w:bCs/>
          <w:sz w:val="24"/>
          <w:szCs w:val="24"/>
        </w:rPr>
      </w:pPr>
    </w:p>
    <w:p w:rsidR="00337E89" w:rsidRPr="00337E89" w:rsidRDefault="00337E89" w:rsidP="00337E89">
      <w:pPr>
        <w:spacing w:line="360" w:lineRule="exact"/>
        <w:jc w:val="center"/>
        <w:rPr>
          <w:rFonts w:ascii="Arial" w:hAnsi="Arial" w:cs="Arial"/>
          <w:b/>
          <w:sz w:val="24"/>
          <w:szCs w:val="24"/>
        </w:rPr>
      </w:pPr>
      <w:r w:rsidRPr="00337E89">
        <w:rPr>
          <w:rFonts w:ascii="Arial" w:hAnsi="Arial" w:cs="Arial"/>
          <w:b/>
          <w:sz w:val="24"/>
          <w:szCs w:val="24"/>
        </w:rPr>
        <w:t>CAPÍTULO I</w:t>
      </w:r>
    </w:p>
    <w:p w:rsidR="00337E89" w:rsidRPr="00337E89" w:rsidRDefault="00337E89" w:rsidP="00337E89">
      <w:pPr>
        <w:spacing w:line="360" w:lineRule="exact"/>
        <w:jc w:val="center"/>
        <w:rPr>
          <w:rFonts w:ascii="Arial" w:hAnsi="Arial" w:cs="Arial"/>
          <w:b/>
          <w:sz w:val="24"/>
          <w:szCs w:val="24"/>
        </w:rPr>
      </w:pPr>
      <w:r w:rsidRPr="00337E89">
        <w:rPr>
          <w:rFonts w:ascii="Arial" w:hAnsi="Arial" w:cs="Arial"/>
          <w:b/>
          <w:sz w:val="24"/>
          <w:szCs w:val="24"/>
        </w:rPr>
        <w:t>DAS DISPOSIÇÕES PRELIMINARES</w:t>
      </w:r>
    </w:p>
    <w:p w:rsidR="00337E89" w:rsidRPr="00337E89" w:rsidRDefault="007C399A" w:rsidP="00337E89">
      <w:pPr>
        <w:spacing w:line="360" w:lineRule="exact"/>
        <w:ind w:firstLine="709"/>
        <w:jc w:val="both"/>
        <w:rPr>
          <w:rFonts w:ascii="Arial" w:hAnsi="Arial" w:cs="Arial"/>
          <w:sz w:val="24"/>
          <w:szCs w:val="24"/>
        </w:rPr>
      </w:pPr>
      <w:r w:rsidRPr="007C399A">
        <w:rPr>
          <w:rFonts w:ascii="Arial" w:hAnsi="Arial" w:cs="Arial"/>
          <w:b/>
          <w:bCs/>
          <w:sz w:val="24"/>
          <w:szCs w:val="24"/>
        </w:rPr>
        <w:t>Art. 1°</w:t>
      </w:r>
      <w:r>
        <w:rPr>
          <w:rFonts w:ascii="Arial" w:hAnsi="Arial" w:cs="Arial"/>
          <w:b/>
          <w:bCs/>
          <w:sz w:val="24"/>
          <w:szCs w:val="24"/>
        </w:rPr>
        <w:t xml:space="preserve"> -</w:t>
      </w:r>
      <w:r w:rsidRPr="007C399A">
        <w:rPr>
          <w:rFonts w:ascii="Arial" w:hAnsi="Arial" w:cs="Arial"/>
          <w:b/>
          <w:bCs/>
          <w:sz w:val="24"/>
          <w:szCs w:val="24"/>
        </w:rPr>
        <w:t xml:space="preserve"> </w:t>
      </w:r>
      <w:r w:rsidR="00337E89" w:rsidRPr="00337E89">
        <w:rPr>
          <w:rFonts w:ascii="Arial" w:hAnsi="Arial" w:cs="Arial"/>
          <w:sz w:val="24"/>
          <w:szCs w:val="24"/>
        </w:rPr>
        <w:t>São estabelecidas, em cumprimento ao disposto no art. 165, § 2o, da Constituição Federal e o art. 4º da Lei Complementar no 101, de 4 de maio de 2000, as diretrizes orçamentárias do Município, compreendendo:</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 – As diretrizes, objetivos e metas da administração para o exercício proposto, em conformidade com o plano plurianual; </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II </w:t>
      </w:r>
      <w:r>
        <w:rPr>
          <w:rFonts w:ascii="Arial" w:hAnsi="Arial" w:cs="Arial"/>
          <w:sz w:val="24"/>
          <w:szCs w:val="24"/>
        </w:rPr>
        <w:t>–</w:t>
      </w:r>
      <w:r w:rsidRPr="00337E89">
        <w:rPr>
          <w:rFonts w:ascii="Arial" w:hAnsi="Arial" w:cs="Arial"/>
          <w:sz w:val="24"/>
          <w:szCs w:val="24"/>
        </w:rPr>
        <w:t xml:space="preserve"> A estrutura, organização e diretrizes para a execução e alterações e equilíbrio do orçamento do Município; </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III </w:t>
      </w:r>
      <w:r>
        <w:rPr>
          <w:rFonts w:ascii="Arial" w:hAnsi="Arial" w:cs="Arial"/>
          <w:sz w:val="24"/>
          <w:szCs w:val="24"/>
        </w:rPr>
        <w:t>–</w:t>
      </w:r>
      <w:r w:rsidRPr="00337E89">
        <w:rPr>
          <w:rFonts w:ascii="Arial" w:hAnsi="Arial" w:cs="Arial"/>
          <w:sz w:val="24"/>
          <w:szCs w:val="24"/>
        </w:rPr>
        <w:t xml:space="preserve"> </w:t>
      </w:r>
      <w:r>
        <w:rPr>
          <w:rFonts w:ascii="Arial" w:hAnsi="Arial" w:cs="Arial"/>
          <w:sz w:val="24"/>
          <w:szCs w:val="24"/>
        </w:rPr>
        <w:t>A</w:t>
      </w:r>
      <w:r w:rsidRPr="00337E89">
        <w:rPr>
          <w:rFonts w:ascii="Arial" w:hAnsi="Arial" w:cs="Arial"/>
          <w:sz w:val="24"/>
          <w:szCs w:val="24"/>
        </w:rPr>
        <w:t>s disposições relativas às despesas com pessoal;</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V </w:t>
      </w:r>
      <w:r>
        <w:rPr>
          <w:rFonts w:ascii="Arial" w:hAnsi="Arial" w:cs="Arial"/>
          <w:sz w:val="24"/>
          <w:szCs w:val="24"/>
        </w:rPr>
        <w:t>–</w:t>
      </w:r>
      <w:r w:rsidRPr="00337E89">
        <w:rPr>
          <w:rFonts w:ascii="Arial" w:hAnsi="Arial" w:cs="Arial"/>
          <w:sz w:val="24"/>
          <w:szCs w:val="24"/>
        </w:rPr>
        <w:t xml:space="preserve"> As disposições sobre as alterações na legislação tributária;</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V – As disposições para transferências de recursos a entidades públicas e privadas;</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VI – As condições para conveniar com outras esferas de governo;</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b/>
          <w:bCs/>
          <w:sz w:val="24"/>
          <w:szCs w:val="24"/>
        </w:rPr>
        <w:t>Parágrafo único.</w:t>
      </w:r>
      <w:r w:rsidRPr="00337E89">
        <w:rPr>
          <w:rFonts w:ascii="Arial" w:hAnsi="Arial" w:cs="Arial"/>
          <w:sz w:val="24"/>
          <w:szCs w:val="24"/>
        </w:rPr>
        <w:t xml:space="preserve"> Faz parte integrante desta Lei:</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I – Anexo de metas e prioridades para o exercício de 2021;</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II – Previsão da receita e da despesa para 2021 a 2023, contendo:</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a)</w:t>
      </w:r>
      <w:r w:rsidRPr="00337E89">
        <w:rPr>
          <w:rFonts w:ascii="Arial" w:hAnsi="Arial" w:cs="Arial"/>
          <w:sz w:val="24"/>
          <w:szCs w:val="24"/>
        </w:rPr>
        <w:tab/>
        <w:t>previsão da receita por categoria econômica e origem;</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b)</w:t>
      </w:r>
      <w:r w:rsidRPr="00337E89">
        <w:rPr>
          <w:rFonts w:ascii="Arial" w:hAnsi="Arial" w:cs="Arial"/>
          <w:sz w:val="24"/>
          <w:szCs w:val="24"/>
        </w:rPr>
        <w:tab/>
        <w:t>previsão da despesa por categoria econômica;</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c)</w:t>
      </w:r>
      <w:r w:rsidRPr="00337E89">
        <w:rPr>
          <w:rFonts w:ascii="Arial" w:hAnsi="Arial" w:cs="Arial"/>
          <w:sz w:val="24"/>
          <w:szCs w:val="24"/>
        </w:rPr>
        <w:tab/>
        <w:t>metodologia e premissas de cálculo das principais receitas e origens;</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III </w:t>
      </w:r>
      <w:r>
        <w:rPr>
          <w:rFonts w:ascii="Arial" w:hAnsi="Arial" w:cs="Arial"/>
          <w:sz w:val="24"/>
          <w:szCs w:val="24"/>
        </w:rPr>
        <w:t>–</w:t>
      </w:r>
      <w:r w:rsidRPr="00337E89">
        <w:rPr>
          <w:rFonts w:ascii="Arial" w:hAnsi="Arial" w:cs="Arial"/>
          <w:sz w:val="24"/>
          <w:szCs w:val="24"/>
        </w:rPr>
        <w:t xml:space="preserve"> </w:t>
      </w:r>
      <w:r>
        <w:rPr>
          <w:rFonts w:ascii="Arial" w:hAnsi="Arial" w:cs="Arial"/>
          <w:sz w:val="24"/>
          <w:szCs w:val="24"/>
        </w:rPr>
        <w:t>P</w:t>
      </w:r>
      <w:r w:rsidRPr="00337E89">
        <w:rPr>
          <w:rFonts w:ascii="Arial" w:hAnsi="Arial" w:cs="Arial"/>
          <w:sz w:val="24"/>
          <w:szCs w:val="24"/>
        </w:rPr>
        <w:t>revisão da Receita Corrente Líquida para 2021;</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IV – Anexo de Metas Fiscais que conterá:</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a)</w:t>
      </w:r>
      <w:r w:rsidRPr="00337E89">
        <w:rPr>
          <w:rFonts w:ascii="Arial" w:hAnsi="Arial" w:cs="Arial"/>
          <w:sz w:val="24"/>
          <w:szCs w:val="24"/>
        </w:rPr>
        <w:tab/>
        <w:t>metas anuais de resultado primário, nominal e dívida pública para os exercícios de 2021 a 2023;</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lastRenderedPageBreak/>
        <w:t>b)</w:t>
      </w:r>
      <w:r w:rsidRPr="00337E89">
        <w:rPr>
          <w:rFonts w:ascii="Arial" w:hAnsi="Arial" w:cs="Arial"/>
          <w:sz w:val="24"/>
          <w:szCs w:val="24"/>
        </w:rPr>
        <w:tab/>
        <w:t>memória e metodologia de cálculo do resultado primário e nominal;</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c)</w:t>
      </w:r>
      <w:r w:rsidRPr="00337E89">
        <w:rPr>
          <w:rFonts w:ascii="Arial" w:hAnsi="Arial" w:cs="Arial"/>
          <w:sz w:val="24"/>
          <w:szCs w:val="24"/>
        </w:rPr>
        <w:tab/>
        <w:t>avaliação do cumprimento das metas fiscais do exercício anterior;</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d)</w:t>
      </w:r>
      <w:r w:rsidRPr="00337E89">
        <w:rPr>
          <w:rFonts w:ascii="Arial" w:hAnsi="Arial" w:cs="Arial"/>
          <w:sz w:val="24"/>
          <w:szCs w:val="24"/>
        </w:rPr>
        <w:tab/>
        <w:t>metas fiscais atuais comparadas com as fixadas nos três exercícios anteriores;</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e)</w:t>
      </w:r>
      <w:r w:rsidRPr="00337E89">
        <w:rPr>
          <w:rFonts w:ascii="Arial" w:hAnsi="Arial" w:cs="Arial"/>
          <w:sz w:val="24"/>
          <w:szCs w:val="24"/>
        </w:rPr>
        <w:tab/>
        <w:t>evolução do patrimônio líquido;</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f)</w:t>
      </w:r>
      <w:r w:rsidRPr="00337E89">
        <w:rPr>
          <w:rFonts w:ascii="Arial" w:hAnsi="Arial" w:cs="Arial"/>
          <w:sz w:val="24"/>
          <w:szCs w:val="24"/>
        </w:rPr>
        <w:tab/>
        <w:t>origem e aplicação dos recursos obtidos com a alienação de ativos;</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g)</w:t>
      </w:r>
      <w:r w:rsidRPr="00337E89">
        <w:rPr>
          <w:rFonts w:ascii="Arial" w:hAnsi="Arial" w:cs="Arial"/>
          <w:sz w:val="24"/>
          <w:szCs w:val="24"/>
        </w:rPr>
        <w:tab/>
        <w:t>avaliação da situação financeira e atuarial do Regime Próprio de Previdência dos Servidores Públicos;</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h)</w:t>
      </w:r>
      <w:r w:rsidRPr="00337E89">
        <w:rPr>
          <w:rFonts w:ascii="Arial" w:hAnsi="Arial" w:cs="Arial"/>
          <w:sz w:val="24"/>
          <w:szCs w:val="24"/>
        </w:rPr>
        <w:tab/>
        <w:t>estimativa e compensação da renúncia da receita;</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i)</w:t>
      </w:r>
      <w:r w:rsidRPr="00337E89">
        <w:rPr>
          <w:rFonts w:ascii="Arial" w:hAnsi="Arial" w:cs="Arial"/>
          <w:sz w:val="24"/>
          <w:szCs w:val="24"/>
        </w:rPr>
        <w:tab/>
        <w:t>margem de expansão das despesas obrigatórias de caráter continuado;</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V </w:t>
      </w:r>
      <w:r>
        <w:rPr>
          <w:rFonts w:ascii="Arial" w:hAnsi="Arial" w:cs="Arial"/>
          <w:sz w:val="24"/>
          <w:szCs w:val="24"/>
        </w:rPr>
        <w:t>–</w:t>
      </w:r>
      <w:r w:rsidRPr="00337E89">
        <w:rPr>
          <w:rFonts w:ascii="Arial" w:hAnsi="Arial" w:cs="Arial"/>
          <w:sz w:val="24"/>
          <w:szCs w:val="24"/>
        </w:rPr>
        <w:t xml:space="preserve"> </w:t>
      </w:r>
      <w:r>
        <w:rPr>
          <w:rFonts w:ascii="Arial" w:hAnsi="Arial" w:cs="Arial"/>
          <w:sz w:val="24"/>
          <w:szCs w:val="24"/>
        </w:rPr>
        <w:t>A</w:t>
      </w:r>
      <w:r w:rsidRPr="00337E89">
        <w:rPr>
          <w:rFonts w:ascii="Arial" w:hAnsi="Arial" w:cs="Arial"/>
          <w:sz w:val="24"/>
          <w:szCs w:val="24"/>
        </w:rPr>
        <w:t>nexo de riscos fiscais;</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VI – </w:t>
      </w:r>
      <w:r>
        <w:rPr>
          <w:rFonts w:ascii="Arial" w:hAnsi="Arial" w:cs="Arial"/>
          <w:sz w:val="24"/>
          <w:szCs w:val="24"/>
        </w:rPr>
        <w:t>R</w:t>
      </w:r>
      <w:r w:rsidRPr="00337E89">
        <w:rPr>
          <w:rFonts w:ascii="Arial" w:hAnsi="Arial" w:cs="Arial"/>
          <w:sz w:val="24"/>
          <w:szCs w:val="24"/>
        </w:rPr>
        <w:t>elatório dos projetos em andamento e posição sobre a situação de conservação do patrimônio público e providências a serem adotadas pelo Executivo (Lei Complementar no 101, de 2000, art. 45, Parágrafo Único); e</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VII – planejamento de despesas com pessoal para o exercício a que se refere a proposta, nos termos do art. 169, § 1o, II da Constituição Federal.</w:t>
      </w:r>
    </w:p>
    <w:p w:rsidR="00337E89" w:rsidRDefault="00337E89" w:rsidP="00337E89">
      <w:pPr>
        <w:spacing w:line="360" w:lineRule="exact"/>
        <w:jc w:val="center"/>
        <w:rPr>
          <w:rFonts w:ascii="Arial" w:hAnsi="Arial" w:cs="Arial"/>
          <w:b/>
          <w:bCs/>
          <w:sz w:val="24"/>
          <w:szCs w:val="24"/>
        </w:rPr>
      </w:pPr>
    </w:p>
    <w:p w:rsidR="00337E89" w:rsidRPr="00337E89" w:rsidRDefault="00337E89" w:rsidP="00337E89">
      <w:pPr>
        <w:spacing w:line="360" w:lineRule="exact"/>
        <w:jc w:val="center"/>
        <w:rPr>
          <w:rFonts w:ascii="Arial" w:hAnsi="Arial" w:cs="Arial"/>
          <w:b/>
          <w:bCs/>
          <w:sz w:val="24"/>
          <w:szCs w:val="24"/>
        </w:rPr>
      </w:pPr>
      <w:r w:rsidRPr="00337E89">
        <w:rPr>
          <w:rFonts w:ascii="Arial" w:hAnsi="Arial" w:cs="Arial"/>
          <w:b/>
          <w:bCs/>
          <w:sz w:val="24"/>
          <w:szCs w:val="24"/>
        </w:rPr>
        <w:t>CAPÍTULO II</w:t>
      </w:r>
    </w:p>
    <w:p w:rsidR="00337E89" w:rsidRPr="00337E89" w:rsidRDefault="00337E89" w:rsidP="00337E89">
      <w:pPr>
        <w:spacing w:line="360" w:lineRule="exact"/>
        <w:jc w:val="center"/>
        <w:rPr>
          <w:rFonts w:ascii="Arial" w:hAnsi="Arial" w:cs="Arial"/>
          <w:b/>
          <w:bCs/>
          <w:sz w:val="24"/>
          <w:szCs w:val="24"/>
        </w:rPr>
      </w:pPr>
      <w:r w:rsidRPr="00337E89">
        <w:rPr>
          <w:rFonts w:ascii="Arial" w:hAnsi="Arial" w:cs="Arial"/>
          <w:b/>
          <w:bCs/>
          <w:sz w:val="24"/>
          <w:szCs w:val="24"/>
        </w:rPr>
        <w:t>DAS DIRETRIZES PARA A ELABORAÇÃO DO ORÇAMENTO</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b/>
          <w:bCs/>
          <w:sz w:val="24"/>
          <w:szCs w:val="24"/>
        </w:rPr>
        <w:t>Art. 2º</w:t>
      </w:r>
      <w:r>
        <w:rPr>
          <w:rFonts w:ascii="Arial" w:hAnsi="Arial" w:cs="Arial"/>
          <w:sz w:val="24"/>
          <w:szCs w:val="24"/>
        </w:rPr>
        <w:t xml:space="preserve"> </w:t>
      </w:r>
      <w:r w:rsidRPr="00337E89">
        <w:rPr>
          <w:rFonts w:ascii="Arial" w:hAnsi="Arial" w:cs="Arial"/>
          <w:b/>
          <w:bCs/>
          <w:sz w:val="24"/>
          <w:szCs w:val="24"/>
        </w:rPr>
        <w:t>-</w:t>
      </w:r>
      <w:r w:rsidRPr="00337E89">
        <w:rPr>
          <w:rFonts w:ascii="Arial" w:hAnsi="Arial" w:cs="Arial"/>
          <w:sz w:val="24"/>
          <w:szCs w:val="24"/>
        </w:rPr>
        <w:t xml:space="preserve"> As prioridades dos órgãos e entidades do Município para o exercício a que se refere a proposta são as previstas no Anexo I desta Lei.</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b/>
          <w:bCs/>
          <w:sz w:val="24"/>
          <w:szCs w:val="24"/>
        </w:rPr>
        <w:t>Parágrafo único.</w:t>
      </w:r>
      <w:r w:rsidRPr="00337E89">
        <w:rPr>
          <w:rFonts w:ascii="Arial" w:hAnsi="Arial" w:cs="Arial"/>
          <w:sz w:val="24"/>
          <w:szCs w:val="24"/>
        </w:rPr>
        <w:t xml:space="preserve"> Os valores constantes no Anexo de que trata este artigo possuem caráter indicativo e não normativo.</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b/>
          <w:bCs/>
          <w:sz w:val="24"/>
          <w:szCs w:val="24"/>
        </w:rPr>
        <w:t>Art. 3º -</w:t>
      </w:r>
      <w:r w:rsidRPr="00337E89">
        <w:rPr>
          <w:rFonts w:ascii="Arial" w:hAnsi="Arial" w:cs="Arial"/>
          <w:sz w:val="24"/>
          <w:szCs w:val="24"/>
        </w:rPr>
        <w:t xml:space="preserve"> O orçamento discriminará a despesa por órgão e unidade orçamentária, detalhada por categoria de programação até o nível de elemento de despesa.</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b/>
          <w:bCs/>
          <w:sz w:val="24"/>
          <w:szCs w:val="24"/>
        </w:rPr>
        <w:t>Parágrafo único.</w:t>
      </w:r>
      <w:r w:rsidRPr="00337E89">
        <w:rPr>
          <w:rFonts w:ascii="Arial" w:hAnsi="Arial" w:cs="Arial"/>
          <w:sz w:val="24"/>
          <w:szCs w:val="24"/>
        </w:rPr>
        <w:t xml:space="preserve"> As vinculações orçamentárias (destinação e fonte de recursos) poderão ser alteradas por ato dos Poderes para atendimento das necessidades de execução orçamentária.</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b/>
          <w:bCs/>
          <w:sz w:val="24"/>
          <w:szCs w:val="24"/>
        </w:rPr>
        <w:t>Art. 4º -</w:t>
      </w:r>
      <w:r w:rsidRPr="00337E89">
        <w:rPr>
          <w:rFonts w:ascii="Arial" w:hAnsi="Arial" w:cs="Arial"/>
          <w:sz w:val="24"/>
          <w:szCs w:val="24"/>
        </w:rPr>
        <w:t xml:space="preserve"> A Lei Orçamentária conterá reserva de contingência constituída de dotação global e corresponderá, na lei orçamentária a, no mínimo, 2% (dois por cento) da receita corrente líquida prevista para o Município, destinada ao atendimento de passivos contingentes, eventos fiscais imprevistos e recursos disponíveis para a abertura de créditos adicionais.</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b/>
          <w:bCs/>
          <w:sz w:val="24"/>
          <w:szCs w:val="24"/>
        </w:rPr>
        <w:lastRenderedPageBreak/>
        <w:t>Parágrafo único.</w:t>
      </w:r>
      <w:r w:rsidRPr="00337E89">
        <w:rPr>
          <w:rFonts w:ascii="Arial" w:hAnsi="Arial" w:cs="Arial"/>
          <w:sz w:val="24"/>
          <w:szCs w:val="24"/>
        </w:rPr>
        <w:t xml:space="preserve"> A partir do dia 1º do mês de julho de 2021 a reserva de contingência poderá ser utilizada livremente como fonte de recursos para a abertura de créditos adicionais.</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b/>
          <w:bCs/>
          <w:sz w:val="24"/>
          <w:szCs w:val="24"/>
        </w:rPr>
        <w:t>Art. 5º</w:t>
      </w:r>
      <w:r>
        <w:rPr>
          <w:rFonts w:ascii="Arial" w:hAnsi="Arial" w:cs="Arial"/>
          <w:b/>
          <w:bCs/>
          <w:sz w:val="24"/>
          <w:szCs w:val="24"/>
        </w:rPr>
        <w:t xml:space="preserve"> -</w:t>
      </w:r>
      <w:r w:rsidRPr="00337E89">
        <w:rPr>
          <w:rFonts w:ascii="Arial" w:hAnsi="Arial" w:cs="Arial"/>
          <w:sz w:val="24"/>
          <w:szCs w:val="24"/>
        </w:rPr>
        <w:t xml:space="preserve"> O Poder Legislativo, para efeitos de recebimento do duodécimo mensal elaborará o seu cronograma de desembolso para o exercício, nos termos do art. 8º da LC nº 101/2.000.</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b/>
          <w:bCs/>
          <w:sz w:val="24"/>
          <w:szCs w:val="24"/>
        </w:rPr>
        <w:t>Parágrafo único.</w:t>
      </w:r>
      <w:r w:rsidRPr="00337E89">
        <w:rPr>
          <w:rFonts w:ascii="Arial" w:hAnsi="Arial" w:cs="Arial"/>
          <w:sz w:val="24"/>
          <w:szCs w:val="24"/>
        </w:rPr>
        <w:t xml:space="preserve"> Em caso da não-elaboração do cronograma de desembolso de que trata este artigo, os duodécimos ao Legislativo se darão na forma de parcelas mensais iguais e sucessivas.</w:t>
      </w:r>
    </w:p>
    <w:p w:rsidR="00337E89" w:rsidRPr="00337E89" w:rsidRDefault="00337E89" w:rsidP="00337E89">
      <w:pPr>
        <w:spacing w:line="360" w:lineRule="exact"/>
        <w:ind w:firstLine="709"/>
        <w:jc w:val="both"/>
        <w:rPr>
          <w:rFonts w:ascii="Arial" w:hAnsi="Arial" w:cs="Arial"/>
          <w:sz w:val="24"/>
          <w:szCs w:val="24"/>
        </w:rPr>
      </w:pPr>
    </w:p>
    <w:p w:rsidR="00337E89" w:rsidRPr="00337E89" w:rsidRDefault="00337E89" w:rsidP="00337E89">
      <w:pPr>
        <w:spacing w:line="360" w:lineRule="exact"/>
        <w:jc w:val="center"/>
        <w:rPr>
          <w:rFonts w:ascii="Arial" w:hAnsi="Arial" w:cs="Arial"/>
          <w:b/>
          <w:bCs/>
          <w:sz w:val="24"/>
          <w:szCs w:val="24"/>
        </w:rPr>
      </w:pPr>
      <w:r w:rsidRPr="00337E89">
        <w:rPr>
          <w:rFonts w:ascii="Arial" w:hAnsi="Arial" w:cs="Arial"/>
          <w:b/>
          <w:bCs/>
          <w:sz w:val="24"/>
          <w:szCs w:val="24"/>
        </w:rPr>
        <w:t>CAPÍTULO III</w:t>
      </w:r>
    </w:p>
    <w:p w:rsidR="00337E89" w:rsidRPr="00337E89" w:rsidRDefault="00337E89" w:rsidP="00337E89">
      <w:pPr>
        <w:spacing w:line="360" w:lineRule="exact"/>
        <w:jc w:val="center"/>
        <w:rPr>
          <w:rFonts w:ascii="Arial" w:hAnsi="Arial" w:cs="Arial"/>
          <w:b/>
          <w:bCs/>
          <w:sz w:val="24"/>
          <w:szCs w:val="24"/>
        </w:rPr>
      </w:pPr>
      <w:r w:rsidRPr="00337E89">
        <w:rPr>
          <w:rFonts w:ascii="Arial" w:hAnsi="Arial" w:cs="Arial"/>
          <w:b/>
          <w:bCs/>
          <w:sz w:val="24"/>
          <w:szCs w:val="24"/>
        </w:rPr>
        <w:t>DAS TRANSFERÊNCIAS PARA O SETOR PRIVADO</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6º</w:t>
      </w:r>
      <w:r w:rsidR="005E0502">
        <w:rPr>
          <w:rFonts w:ascii="Arial" w:hAnsi="Arial" w:cs="Arial"/>
          <w:b/>
          <w:bCs/>
          <w:sz w:val="24"/>
          <w:szCs w:val="24"/>
        </w:rPr>
        <w:t xml:space="preserve"> -</w:t>
      </w:r>
      <w:r w:rsidRPr="00337E89">
        <w:rPr>
          <w:rFonts w:ascii="Arial" w:hAnsi="Arial" w:cs="Arial"/>
          <w:sz w:val="24"/>
          <w:szCs w:val="24"/>
        </w:rPr>
        <w:t xml:space="preserve"> A transferência de recursos a organizações da sociedade civil sem fins lucrativos ocorrerá de acordo com a Lei no 13.019, de 31 de julho de 2014.</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7º</w:t>
      </w:r>
      <w:r w:rsidR="005E0502">
        <w:rPr>
          <w:rFonts w:ascii="Arial" w:hAnsi="Arial" w:cs="Arial"/>
          <w:b/>
          <w:bCs/>
          <w:sz w:val="24"/>
          <w:szCs w:val="24"/>
        </w:rPr>
        <w:t xml:space="preserve"> -</w:t>
      </w:r>
      <w:r w:rsidRPr="00337E89">
        <w:rPr>
          <w:rFonts w:ascii="Arial" w:hAnsi="Arial" w:cs="Arial"/>
          <w:sz w:val="24"/>
          <w:szCs w:val="24"/>
        </w:rPr>
        <w:t xml:space="preserve"> O auxílio para pessoas físicas dependerá de interesse público motivado, plano de aplicação, lei específica e prestação de contas.</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8º</w:t>
      </w:r>
      <w:r w:rsidR="005E0502">
        <w:rPr>
          <w:rFonts w:ascii="Arial" w:hAnsi="Arial" w:cs="Arial"/>
          <w:b/>
          <w:bCs/>
          <w:sz w:val="24"/>
          <w:szCs w:val="24"/>
        </w:rPr>
        <w:t xml:space="preserve"> -</w:t>
      </w:r>
      <w:r w:rsidRPr="00337E89">
        <w:rPr>
          <w:rFonts w:ascii="Arial" w:hAnsi="Arial" w:cs="Arial"/>
          <w:sz w:val="24"/>
          <w:szCs w:val="24"/>
        </w:rPr>
        <w:t xml:space="preserve"> A transferência de recursos públicos para cobrir déficits de pessoas jurídicas com a finalidade de conceder benefícios fiscais ou econômicos, além das condições fiscais previstas no art. 14 da Lei de Responsabilidade Fiscal, deverá ser autorizada por lei específica e o plano de incentivos definido em lei local.</w:t>
      </w:r>
    </w:p>
    <w:p w:rsidR="00337E89" w:rsidRPr="00337E89" w:rsidRDefault="00337E89" w:rsidP="00337E89">
      <w:pPr>
        <w:spacing w:line="360" w:lineRule="exact"/>
        <w:ind w:firstLine="709"/>
        <w:jc w:val="both"/>
        <w:rPr>
          <w:rFonts w:ascii="Arial" w:hAnsi="Arial" w:cs="Arial"/>
          <w:sz w:val="24"/>
          <w:szCs w:val="24"/>
        </w:rPr>
      </w:pPr>
    </w:p>
    <w:p w:rsidR="00337E89" w:rsidRPr="005E0502" w:rsidRDefault="00337E89" w:rsidP="005E0502">
      <w:pPr>
        <w:spacing w:line="360" w:lineRule="exact"/>
        <w:jc w:val="center"/>
        <w:rPr>
          <w:rFonts w:ascii="Arial" w:hAnsi="Arial" w:cs="Arial"/>
          <w:b/>
          <w:bCs/>
          <w:sz w:val="24"/>
          <w:szCs w:val="24"/>
        </w:rPr>
      </w:pPr>
      <w:r w:rsidRPr="005E0502">
        <w:rPr>
          <w:rFonts w:ascii="Arial" w:hAnsi="Arial" w:cs="Arial"/>
          <w:b/>
          <w:bCs/>
          <w:sz w:val="24"/>
          <w:szCs w:val="24"/>
        </w:rPr>
        <w:t>CAPÍTULO IV</w:t>
      </w:r>
    </w:p>
    <w:p w:rsidR="00337E89" w:rsidRPr="005E0502" w:rsidRDefault="00337E89" w:rsidP="005E0502">
      <w:pPr>
        <w:spacing w:line="360" w:lineRule="exact"/>
        <w:jc w:val="center"/>
        <w:rPr>
          <w:rFonts w:ascii="Arial" w:hAnsi="Arial" w:cs="Arial"/>
          <w:b/>
          <w:bCs/>
          <w:sz w:val="24"/>
          <w:szCs w:val="24"/>
        </w:rPr>
      </w:pPr>
      <w:r w:rsidRPr="005E0502">
        <w:rPr>
          <w:rFonts w:ascii="Arial" w:hAnsi="Arial" w:cs="Arial"/>
          <w:b/>
          <w:bCs/>
          <w:sz w:val="24"/>
          <w:szCs w:val="24"/>
        </w:rPr>
        <w:t>DAS DISPOSIÇÕES SOBRE AS EMENDAS IMPOSITIVAS</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9º</w:t>
      </w:r>
      <w:r w:rsidR="005E0502" w:rsidRPr="005E0502">
        <w:rPr>
          <w:rFonts w:ascii="Arial" w:hAnsi="Arial" w:cs="Arial"/>
          <w:b/>
          <w:bCs/>
          <w:sz w:val="24"/>
          <w:szCs w:val="24"/>
        </w:rPr>
        <w:t xml:space="preserve"> -</w:t>
      </w:r>
      <w:r w:rsidRPr="005E0502">
        <w:rPr>
          <w:rFonts w:ascii="Arial" w:hAnsi="Arial" w:cs="Arial"/>
          <w:b/>
          <w:bCs/>
          <w:sz w:val="24"/>
          <w:szCs w:val="24"/>
        </w:rPr>
        <w:t xml:space="preserve"> </w:t>
      </w:r>
      <w:r w:rsidRPr="00337E89">
        <w:rPr>
          <w:rFonts w:ascii="Arial" w:hAnsi="Arial" w:cs="Arial"/>
          <w:sz w:val="24"/>
          <w:szCs w:val="24"/>
        </w:rPr>
        <w:t>As emendas impositivas ao projeto de lei orçamentária anual poderão ser apresentadas nos termos da Lei Orgânica do Município.</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 1º</w:t>
      </w:r>
      <w:r w:rsidR="005E0502">
        <w:rPr>
          <w:rFonts w:ascii="Arial" w:hAnsi="Arial" w:cs="Arial"/>
          <w:b/>
          <w:bCs/>
          <w:sz w:val="24"/>
          <w:szCs w:val="24"/>
        </w:rPr>
        <w:t xml:space="preserve"> -</w:t>
      </w:r>
      <w:r w:rsidRPr="00337E89">
        <w:rPr>
          <w:rFonts w:ascii="Arial" w:hAnsi="Arial" w:cs="Arial"/>
          <w:sz w:val="24"/>
          <w:szCs w:val="24"/>
        </w:rPr>
        <w:t xml:space="preserve"> As emendas de que trata este artigo somente deixarão de ser executadas até o término do exercício em casos de impedimento de ordem técnica declarada pelo Poder Executivo, nos casos de:</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 </w:t>
      </w:r>
      <w:r w:rsidR="005E0502">
        <w:rPr>
          <w:rFonts w:ascii="Arial" w:hAnsi="Arial" w:cs="Arial"/>
          <w:sz w:val="24"/>
          <w:szCs w:val="24"/>
        </w:rPr>
        <w:t>–</w:t>
      </w:r>
      <w:r w:rsidRPr="00337E89">
        <w:rPr>
          <w:rFonts w:ascii="Arial" w:hAnsi="Arial" w:cs="Arial"/>
          <w:sz w:val="24"/>
          <w:szCs w:val="24"/>
        </w:rPr>
        <w:t xml:space="preserve"> </w:t>
      </w:r>
      <w:r w:rsidR="005E0502" w:rsidRPr="00337E89">
        <w:rPr>
          <w:rFonts w:ascii="Arial" w:hAnsi="Arial" w:cs="Arial"/>
          <w:sz w:val="24"/>
          <w:szCs w:val="24"/>
        </w:rPr>
        <w:t>Incompatibilidade</w:t>
      </w:r>
      <w:r w:rsidRPr="00337E89">
        <w:rPr>
          <w:rFonts w:ascii="Arial" w:hAnsi="Arial" w:cs="Arial"/>
          <w:sz w:val="24"/>
          <w:szCs w:val="24"/>
        </w:rPr>
        <w:t xml:space="preserve"> do objeto proposto com o órgão, programa, ou ação orçamentária;</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II </w:t>
      </w:r>
      <w:r w:rsidR="005E0502">
        <w:rPr>
          <w:rFonts w:ascii="Arial" w:hAnsi="Arial" w:cs="Arial"/>
          <w:sz w:val="24"/>
          <w:szCs w:val="24"/>
        </w:rPr>
        <w:t>–</w:t>
      </w:r>
      <w:r w:rsidRPr="00337E89">
        <w:rPr>
          <w:rFonts w:ascii="Arial" w:hAnsi="Arial" w:cs="Arial"/>
          <w:sz w:val="24"/>
          <w:szCs w:val="24"/>
        </w:rPr>
        <w:t xml:space="preserve"> </w:t>
      </w:r>
      <w:r w:rsidR="005E0502" w:rsidRPr="00337E89">
        <w:rPr>
          <w:rFonts w:ascii="Arial" w:hAnsi="Arial" w:cs="Arial"/>
          <w:sz w:val="24"/>
          <w:szCs w:val="24"/>
        </w:rPr>
        <w:t>Incompatibilidade</w:t>
      </w:r>
      <w:r w:rsidRPr="00337E89">
        <w:rPr>
          <w:rFonts w:ascii="Arial" w:hAnsi="Arial" w:cs="Arial"/>
          <w:sz w:val="24"/>
          <w:szCs w:val="24"/>
        </w:rPr>
        <w:t xml:space="preserve"> do valor proposto com o cronograma de execução do projeto ou proposta de valor que impeça a conclusão do projeto, atividade ou etapa no exercício;</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lastRenderedPageBreak/>
        <w:t xml:space="preserve">III </w:t>
      </w:r>
      <w:r w:rsidR="005E0502">
        <w:rPr>
          <w:rFonts w:ascii="Arial" w:hAnsi="Arial" w:cs="Arial"/>
          <w:sz w:val="24"/>
          <w:szCs w:val="24"/>
        </w:rPr>
        <w:t>–</w:t>
      </w:r>
      <w:r w:rsidRPr="00337E89">
        <w:rPr>
          <w:rFonts w:ascii="Arial" w:hAnsi="Arial" w:cs="Arial"/>
          <w:sz w:val="24"/>
          <w:szCs w:val="24"/>
        </w:rPr>
        <w:t xml:space="preserve"> </w:t>
      </w:r>
      <w:r w:rsidR="005E0502">
        <w:rPr>
          <w:rFonts w:ascii="Arial" w:hAnsi="Arial" w:cs="Arial"/>
          <w:sz w:val="24"/>
          <w:szCs w:val="24"/>
        </w:rPr>
        <w:t>A</w:t>
      </w:r>
      <w:r w:rsidRPr="00337E89">
        <w:rPr>
          <w:rFonts w:ascii="Arial" w:hAnsi="Arial" w:cs="Arial"/>
          <w:sz w:val="24"/>
          <w:szCs w:val="24"/>
        </w:rPr>
        <w:t>usência de pertinência temática entre o objeto proposto e a finalidade institucional da entidade beneficiária, em caso de indicação de recursos à entidade sem fins lucrativos;</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IV </w:t>
      </w:r>
      <w:r w:rsidR="005E0502">
        <w:rPr>
          <w:rFonts w:ascii="Arial" w:hAnsi="Arial" w:cs="Arial"/>
          <w:sz w:val="24"/>
          <w:szCs w:val="24"/>
        </w:rPr>
        <w:t>–</w:t>
      </w:r>
      <w:r w:rsidRPr="00337E89">
        <w:rPr>
          <w:rFonts w:ascii="Arial" w:hAnsi="Arial" w:cs="Arial"/>
          <w:sz w:val="24"/>
          <w:szCs w:val="24"/>
        </w:rPr>
        <w:t xml:space="preserve"> </w:t>
      </w:r>
      <w:r w:rsidR="005E0502" w:rsidRPr="00337E89">
        <w:rPr>
          <w:rFonts w:ascii="Arial" w:hAnsi="Arial" w:cs="Arial"/>
          <w:sz w:val="24"/>
          <w:szCs w:val="24"/>
        </w:rPr>
        <w:t>Não</w:t>
      </w:r>
      <w:r w:rsidRPr="00337E89">
        <w:rPr>
          <w:rFonts w:ascii="Arial" w:hAnsi="Arial" w:cs="Arial"/>
          <w:sz w:val="24"/>
          <w:szCs w:val="24"/>
        </w:rPr>
        <w:t xml:space="preserve"> indicação de beneficiário pelo autor da emenda, caso esse seja imprescindível à sua execução;</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V </w:t>
      </w:r>
      <w:r w:rsidR="005E0502">
        <w:rPr>
          <w:rFonts w:ascii="Arial" w:hAnsi="Arial" w:cs="Arial"/>
          <w:sz w:val="24"/>
          <w:szCs w:val="24"/>
        </w:rPr>
        <w:t>–</w:t>
      </w:r>
      <w:r w:rsidRPr="00337E89">
        <w:rPr>
          <w:rFonts w:ascii="Arial" w:hAnsi="Arial" w:cs="Arial"/>
          <w:sz w:val="24"/>
          <w:szCs w:val="24"/>
        </w:rPr>
        <w:t xml:space="preserve"> </w:t>
      </w:r>
      <w:r w:rsidR="005E0502" w:rsidRPr="00337E89">
        <w:rPr>
          <w:rFonts w:ascii="Arial" w:hAnsi="Arial" w:cs="Arial"/>
          <w:sz w:val="24"/>
          <w:szCs w:val="24"/>
        </w:rPr>
        <w:t>Não</w:t>
      </w:r>
      <w:r w:rsidRPr="00337E89">
        <w:rPr>
          <w:rFonts w:ascii="Arial" w:hAnsi="Arial" w:cs="Arial"/>
          <w:sz w:val="24"/>
          <w:szCs w:val="24"/>
        </w:rPr>
        <w:t xml:space="preserve"> apresentação ou não aprovação de proposta, plano de trabalho ou apresentação fora dos prazos previstos nesta Lei;</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VI </w:t>
      </w:r>
      <w:r w:rsidR="005E0502">
        <w:rPr>
          <w:rFonts w:ascii="Arial" w:hAnsi="Arial" w:cs="Arial"/>
          <w:sz w:val="24"/>
          <w:szCs w:val="24"/>
        </w:rPr>
        <w:t>–</w:t>
      </w:r>
      <w:r w:rsidRPr="00337E89">
        <w:rPr>
          <w:rFonts w:ascii="Arial" w:hAnsi="Arial" w:cs="Arial"/>
          <w:sz w:val="24"/>
          <w:szCs w:val="24"/>
        </w:rPr>
        <w:t xml:space="preserve"> </w:t>
      </w:r>
      <w:r w:rsidR="005E0502" w:rsidRPr="00337E89">
        <w:rPr>
          <w:rFonts w:ascii="Arial" w:hAnsi="Arial" w:cs="Arial"/>
          <w:sz w:val="24"/>
          <w:szCs w:val="24"/>
        </w:rPr>
        <w:t>Não</w:t>
      </w:r>
      <w:r w:rsidRPr="00337E89">
        <w:rPr>
          <w:rFonts w:ascii="Arial" w:hAnsi="Arial" w:cs="Arial"/>
          <w:sz w:val="24"/>
          <w:szCs w:val="24"/>
        </w:rPr>
        <w:t xml:space="preserve"> realização de complementação ou ajustes solicitados em proposta ou plano de trabalho;</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VII </w:t>
      </w:r>
      <w:r w:rsidR="005E0502">
        <w:rPr>
          <w:rFonts w:ascii="Arial" w:hAnsi="Arial" w:cs="Arial"/>
          <w:sz w:val="24"/>
          <w:szCs w:val="24"/>
        </w:rPr>
        <w:t>–</w:t>
      </w:r>
      <w:r w:rsidRPr="00337E89">
        <w:rPr>
          <w:rFonts w:ascii="Arial" w:hAnsi="Arial" w:cs="Arial"/>
          <w:sz w:val="24"/>
          <w:szCs w:val="24"/>
        </w:rPr>
        <w:t xml:space="preserve"> </w:t>
      </w:r>
      <w:r w:rsidR="005E0502">
        <w:rPr>
          <w:rFonts w:ascii="Arial" w:hAnsi="Arial" w:cs="Arial"/>
          <w:sz w:val="24"/>
          <w:szCs w:val="24"/>
        </w:rPr>
        <w:t>D</w:t>
      </w:r>
      <w:r w:rsidRPr="00337E89">
        <w:rPr>
          <w:rFonts w:ascii="Arial" w:hAnsi="Arial" w:cs="Arial"/>
          <w:sz w:val="24"/>
          <w:szCs w:val="24"/>
        </w:rPr>
        <w:t xml:space="preserve">esistência da proposta pelo proponente; </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VIII </w:t>
      </w:r>
      <w:r w:rsidR="005E0502">
        <w:rPr>
          <w:rFonts w:ascii="Arial" w:hAnsi="Arial" w:cs="Arial"/>
          <w:sz w:val="24"/>
          <w:szCs w:val="24"/>
        </w:rPr>
        <w:t>–</w:t>
      </w:r>
      <w:r w:rsidRPr="00337E89">
        <w:rPr>
          <w:rFonts w:ascii="Arial" w:hAnsi="Arial" w:cs="Arial"/>
          <w:sz w:val="24"/>
          <w:szCs w:val="24"/>
        </w:rPr>
        <w:t xml:space="preserve"> </w:t>
      </w:r>
      <w:r w:rsidR="005E0502">
        <w:rPr>
          <w:rFonts w:ascii="Arial" w:hAnsi="Arial" w:cs="Arial"/>
          <w:sz w:val="24"/>
          <w:szCs w:val="24"/>
        </w:rPr>
        <w:t>O</w:t>
      </w:r>
      <w:r w:rsidRPr="00337E89">
        <w:rPr>
          <w:rFonts w:ascii="Arial" w:hAnsi="Arial" w:cs="Arial"/>
          <w:sz w:val="24"/>
          <w:szCs w:val="24"/>
        </w:rPr>
        <w:t>utras razões de ordem técnica devidamente justificadas.</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 2º</w:t>
      </w:r>
      <w:r w:rsidR="005E0502">
        <w:rPr>
          <w:rFonts w:ascii="Arial" w:hAnsi="Arial" w:cs="Arial"/>
          <w:b/>
          <w:bCs/>
          <w:sz w:val="24"/>
          <w:szCs w:val="24"/>
        </w:rPr>
        <w:t xml:space="preserve"> -</w:t>
      </w:r>
      <w:r w:rsidRPr="00337E89">
        <w:rPr>
          <w:rFonts w:ascii="Arial" w:hAnsi="Arial" w:cs="Arial"/>
          <w:sz w:val="24"/>
          <w:szCs w:val="24"/>
        </w:rPr>
        <w:t xml:space="preserve"> Não constitui impedimento de ordem técnica a indevida classificação da despesa, ou erros meramente formais, cabendo ao Poder Executivo sanar e realizar os ajustes necessários no orçamento, por meio de ato próprio ou créditos adicionais.</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10</w:t>
      </w:r>
      <w:r w:rsidR="005E0502">
        <w:rPr>
          <w:rFonts w:ascii="Arial" w:hAnsi="Arial" w:cs="Arial"/>
          <w:b/>
          <w:bCs/>
          <w:sz w:val="24"/>
          <w:szCs w:val="24"/>
        </w:rPr>
        <w:t xml:space="preserve"> -</w:t>
      </w:r>
      <w:r w:rsidRPr="00337E89">
        <w:rPr>
          <w:rFonts w:ascii="Arial" w:hAnsi="Arial" w:cs="Arial"/>
          <w:sz w:val="24"/>
          <w:szCs w:val="24"/>
        </w:rPr>
        <w:t xml:space="preserve"> No caso de impedimento de ordem técnica serão adotadas as seguintes medidas:</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 </w:t>
      </w:r>
      <w:r w:rsidR="005E0502">
        <w:rPr>
          <w:rFonts w:ascii="Arial" w:hAnsi="Arial" w:cs="Arial"/>
          <w:sz w:val="24"/>
          <w:szCs w:val="24"/>
        </w:rPr>
        <w:t>–</w:t>
      </w:r>
      <w:r w:rsidRPr="00337E89">
        <w:rPr>
          <w:rFonts w:ascii="Arial" w:hAnsi="Arial" w:cs="Arial"/>
          <w:sz w:val="24"/>
          <w:szCs w:val="24"/>
        </w:rPr>
        <w:t xml:space="preserve"> </w:t>
      </w:r>
      <w:r w:rsidR="005E0502" w:rsidRPr="00337E89">
        <w:rPr>
          <w:rFonts w:ascii="Arial" w:hAnsi="Arial" w:cs="Arial"/>
          <w:sz w:val="24"/>
          <w:szCs w:val="24"/>
        </w:rPr>
        <w:t>Até</w:t>
      </w:r>
      <w:r w:rsidRPr="00337E89">
        <w:rPr>
          <w:rFonts w:ascii="Arial" w:hAnsi="Arial" w:cs="Arial"/>
          <w:sz w:val="24"/>
          <w:szCs w:val="24"/>
        </w:rPr>
        <w:t xml:space="preserve"> 120 (cento e vinte) dias após a publicação da lei orçamentária, o Poder Executivo, comunicará ao Poder Legislativo as justificativas de impedimento à execução das emendas individuais e/ou de bancadas;</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II – </w:t>
      </w:r>
      <w:r w:rsidR="005E0502" w:rsidRPr="00337E89">
        <w:rPr>
          <w:rFonts w:ascii="Arial" w:hAnsi="Arial" w:cs="Arial"/>
          <w:sz w:val="24"/>
          <w:szCs w:val="24"/>
        </w:rPr>
        <w:t>Em</w:t>
      </w:r>
      <w:r w:rsidRPr="00337E89">
        <w:rPr>
          <w:rFonts w:ascii="Arial" w:hAnsi="Arial" w:cs="Arial"/>
          <w:sz w:val="24"/>
          <w:szCs w:val="24"/>
        </w:rPr>
        <w:t xml:space="preserve"> até 30 (trinta) dias após o término do prazo previsto no inciso I, o Poder Legislativo indicará ao Poder Executivo o remanejamento da programação cujo impedimento seja insuperável;</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III – </w:t>
      </w:r>
      <w:r w:rsidR="005E0502">
        <w:rPr>
          <w:rFonts w:ascii="Arial" w:hAnsi="Arial" w:cs="Arial"/>
          <w:sz w:val="24"/>
          <w:szCs w:val="24"/>
        </w:rPr>
        <w:t>E</w:t>
      </w:r>
      <w:r w:rsidRPr="00337E89">
        <w:rPr>
          <w:rFonts w:ascii="Arial" w:hAnsi="Arial" w:cs="Arial"/>
          <w:sz w:val="24"/>
          <w:szCs w:val="24"/>
        </w:rPr>
        <w:t>m até 30 (trinta) dias após o término do prazo previsto no inciso II o Poder Executivo consolidará as indicações e, se necessário, iniciará processo legislativo dos créditos adicionais para o atendimento;</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Parágrafo único.</w:t>
      </w:r>
      <w:r w:rsidRPr="00337E89">
        <w:rPr>
          <w:rFonts w:ascii="Arial" w:hAnsi="Arial" w:cs="Arial"/>
          <w:sz w:val="24"/>
          <w:szCs w:val="24"/>
        </w:rPr>
        <w:t xml:space="preserve"> Após o término do prazo previsto no inciso II do caput, as emendas com impedimento técnico não remanejadas pelo Poder Legislativo, não serão de execução obrigatória podendo servir de fonte para abertura de créditos adicionais no exercício.</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11</w:t>
      </w:r>
      <w:r w:rsidR="005E0502">
        <w:rPr>
          <w:rFonts w:ascii="Arial" w:hAnsi="Arial" w:cs="Arial"/>
          <w:b/>
          <w:bCs/>
          <w:sz w:val="24"/>
          <w:szCs w:val="24"/>
        </w:rPr>
        <w:t xml:space="preserve"> -</w:t>
      </w:r>
      <w:r w:rsidRPr="00337E89">
        <w:rPr>
          <w:rFonts w:ascii="Arial" w:hAnsi="Arial" w:cs="Arial"/>
          <w:sz w:val="24"/>
          <w:szCs w:val="24"/>
        </w:rPr>
        <w:t xml:space="preserve"> Em caso de emendas individuais ou de bancada que tenham como beneficiárias entidades da organização civil, o Poder Executivo as notificará para que apresentem o plano de trabalho em até 30 dias.</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Parágrafo único.</w:t>
      </w:r>
      <w:r w:rsidRPr="00337E89">
        <w:rPr>
          <w:rFonts w:ascii="Arial" w:hAnsi="Arial" w:cs="Arial"/>
          <w:sz w:val="24"/>
          <w:szCs w:val="24"/>
        </w:rPr>
        <w:t xml:space="preserve"> O não atendimento aos requisitos das legislações, ou aos prazos, impedirá a formalização do termo ou convênio.</w:t>
      </w:r>
    </w:p>
    <w:p w:rsidR="005E0502" w:rsidRDefault="005E0502" w:rsidP="00337E89">
      <w:pPr>
        <w:spacing w:line="360" w:lineRule="exact"/>
        <w:ind w:firstLine="709"/>
        <w:jc w:val="both"/>
        <w:rPr>
          <w:rFonts w:ascii="Arial" w:hAnsi="Arial" w:cs="Arial"/>
          <w:sz w:val="24"/>
          <w:szCs w:val="24"/>
        </w:rPr>
      </w:pPr>
    </w:p>
    <w:p w:rsidR="00337E89" w:rsidRPr="005E0502" w:rsidRDefault="00337E89" w:rsidP="005E0502">
      <w:pPr>
        <w:spacing w:line="360" w:lineRule="exact"/>
        <w:jc w:val="center"/>
        <w:rPr>
          <w:rFonts w:ascii="Arial" w:hAnsi="Arial" w:cs="Arial"/>
          <w:b/>
          <w:bCs/>
          <w:sz w:val="24"/>
          <w:szCs w:val="24"/>
        </w:rPr>
      </w:pPr>
      <w:r w:rsidRPr="005E0502">
        <w:rPr>
          <w:rFonts w:ascii="Arial" w:hAnsi="Arial" w:cs="Arial"/>
          <w:b/>
          <w:bCs/>
          <w:sz w:val="24"/>
          <w:szCs w:val="24"/>
        </w:rPr>
        <w:t>CAPÍTULO V</w:t>
      </w:r>
    </w:p>
    <w:p w:rsidR="00337E89" w:rsidRPr="005E0502" w:rsidRDefault="00337E89" w:rsidP="005E0502">
      <w:pPr>
        <w:spacing w:line="360" w:lineRule="exact"/>
        <w:jc w:val="center"/>
        <w:rPr>
          <w:rFonts w:ascii="Arial" w:hAnsi="Arial" w:cs="Arial"/>
          <w:b/>
          <w:bCs/>
          <w:sz w:val="24"/>
          <w:szCs w:val="24"/>
        </w:rPr>
      </w:pPr>
      <w:r w:rsidRPr="005E0502">
        <w:rPr>
          <w:rFonts w:ascii="Arial" w:hAnsi="Arial" w:cs="Arial"/>
          <w:b/>
          <w:bCs/>
          <w:sz w:val="24"/>
          <w:szCs w:val="24"/>
        </w:rPr>
        <w:lastRenderedPageBreak/>
        <w:t>DAS DISPOSIÇÕES RELATIVAS ÀS DESPESAS COM PESSOAL E DE CARÁTER CONTINUADO</w:t>
      </w:r>
    </w:p>
    <w:p w:rsidR="00337E89" w:rsidRPr="00337E89" w:rsidRDefault="00337E89" w:rsidP="00337E89">
      <w:pPr>
        <w:spacing w:line="360" w:lineRule="exact"/>
        <w:ind w:firstLine="709"/>
        <w:jc w:val="both"/>
        <w:rPr>
          <w:rFonts w:ascii="Arial" w:hAnsi="Arial" w:cs="Arial"/>
          <w:sz w:val="24"/>
          <w:szCs w:val="24"/>
        </w:rPr>
      </w:pP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12</w:t>
      </w:r>
      <w:r w:rsidR="005E0502">
        <w:rPr>
          <w:rFonts w:ascii="Arial" w:hAnsi="Arial" w:cs="Arial"/>
          <w:b/>
          <w:bCs/>
          <w:sz w:val="24"/>
          <w:szCs w:val="24"/>
        </w:rPr>
        <w:t xml:space="preserve"> - </w:t>
      </w:r>
      <w:r w:rsidRPr="00337E89">
        <w:rPr>
          <w:rFonts w:ascii="Arial" w:hAnsi="Arial" w:cs="Arial"/>
          <w:sz w:val="24"/>
          <w:szCs w:val="24"/>
        </w:rPr>
        <w:t>Para fins de atendimento ao disposto no art. 169, § 1o, inciso II, da Constituição Federal, fica o Poder Executivo e Legislativo autorizados a:</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 – </w:t>
      </w:r>
      <w:r w:rsidR="005E0502" w:rsidRPr="00337E89">
        <w:rPr>
          <w:rFonts w:ascii="Arial" w:hAnsi="Arial" w:cs="Arial"/>
          <w:sz w:val="24"/>
          <w:szCs w:val="24"/>
        </w:rPr>
        <w:t>Admitir</w:t>
      </w:r>
      <w:r w:rsidRPr="00337E89">
        <w:rPr>
          <w:rFonts w:ascii="Arial" w:hAnsi="Arial" w:cs="Arial"/>
          <w:sz w:val="24"/>
          <w:szCs w:val="24"/>
        </w:rPr>
        <w:t xml:space="preserve"> servidores de provimento efetivo ou em comissão em caso de vacância, sem aumento da despesa com pessoal;</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II –</w:t>
      </w:r>
      <w:r w:rsidR="005E0502">
        <w:rPr>
          <w:rFonts w:ascii="Arial" w:hAnsi="Arial" w:cs="Arial"/>
          <w:sz w:val="24"/>
          <w:szCs w:val="24"/>
        </w:rPr>
        <w:t xml:space="preserve"> </w:t>
      </w:r>
      <w:r w:rsidR="005E0502" w:rsidRPr="00337E89">
        <w:rPr>
          <w:rFonts w:ascii="Arial" w:hAnsi="Arial" w:cs="Arial"/>
          <w:sz w:val="24"/>
          <w:szCs w:val="24"/>
        </w:rPr>
        <w:t>Contratação</w:t>
      </w:r>
      <w:r w:rsidRPr="00337E89">
        <w:rPr>
          <w:rFonts w:ascii="Arial" w:hAnsi="Arial" w:cs="Arial"/>
          <w:sz w:val="24"/>
          <w:szCs w:val="24"/>
        </w:rPr>
        <w:t xml:space="preserve"> temporária por excepcional interesse público, nos termos do Regime Jurídico;</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 1º</w:t>
      </w:r>
      <w:r w:rsidR="005E0502">
        <w:rPr>
          <w:rFonts w:ascii="Arial" w:hAnsi="Arial" w:cs="Arial"/>
          <w:b/>
          <w:bCs/>
          <w:sz w:val="24"/>
          <w:szCs w:val="24"/>
        </w:rPr>
        <w:t xml:space="preserve"> -</w:t>
      </w:r>
      <w:r w:rsidRPr="00337E89">
        <w:rPr>
          <w:rFonts w:ascii="Arial" w:hAnsi="Arial" w:cs="Arial"/>
          <w:sz w:val="24"/>
          <w:szCs w:val="24"/>
        </w:rPr>
        <w:t xml:space="preserve"> Somente será admitido o aumento de despesas com pessoal até o final do exercício de 2021 que se relacione:</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 </w:t>
      </w:r>
      <w:r w:rsidR="005E0502">
        <w:rPr>
          <w:rFonts w:ascii="Arial" w:hAnsi="Arial" w:cs="Arial"/>
          <w:sz w:val="24"/>
          <w:szCs w:val="24"/>
        </w:rPr>
        <w:t>–</w:t>
      </w:r>
      <w:r w:rsidRPr="00337E89">
        <w:rPr>
          <w:rFonts w:ascii="Arial" w:hAnsi="Arial" w:cs="Arial"/>
          <w:sz w:val="24"/>
          <w:szCs w:val="24"/>
        </w:rPr>
        <w:t xml:space="preserve"> </w:t>
      </w:r>
      <w:r w:rsidR="005E0502" w:rsidRPr="00337E89">
        <w:rPr>
          <w:rFonts w:ascii="Arial" w:hAnsi="Arial" w:cs="Arial"/>
          <w:sz w:val="24"/>
          <w:szCs w:val="24"/>
        </w:rPr>
        <w:t>Com</w:t>
      </w:r>
      <w:r w:rsidRPr="00337E89">
        <w:rPr>
          <w:rFonts w:ascii="Arial" w:hAnsi="Arial" w:cs="Arial"/>
          <w:sz w:val="24"/>
          <w:szCs w:val="24"/>
        </w:rPr>
        <w:t xml:space="preserve"> a criação e majoração de remuneração exclusivamente dos profissionais de saúde e assistência social, nos termos do que dispõe a LC nº 173, art. 8º, § 5º, desde que relacionado ao combate da COVID-19.</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II – </w:t>
      </w:r>
      <w:r w:rsidR="005E0502" w:rsidRPr="00337E89">
        <w:rPr>
          <w:rFonts w:ascii="Arial" w:hAnsi="Arial" w:cs="Arial"/>
          <w:sz w:val="24"/>
          <w:szCs w:val="24"/>
        </w:rPr>
        <w:t>A</w:t>
      </w:r>
      <w:r w:rsidRPr="00337E89">
        <w:rPr>
          <w:rFonts w:ascii="Arial" w:hAnsi="Arial" w:cs="Arial"/>
          <w:sz w:val="24"/>
          <w:szCs w:val="24"/>
        </w:rPr>
        <w:t xml:space="preserve"> criação de cargos, emprego e função, ou admissão de servidores ou empregados como medidas de combate à calamidade pública COVID-19 e cuja vigência e efeitos não ultrapassem a sua duração, nos termos da LC nº 173, art. 8º, § 1º.</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 2º</w:t>
      </w:r>
      <w:r w:rsidR="005E0502">
        <w:rPr>
          <w:rFonts w:ascii="Arial" w:hAnsi="Arial" w:cs="Arial"/>
          <w:b/>
          <w:bCs/>
          <w:sz w:val="24"/>
          <w:szCs w:val="24"/>
        </w:rPr>
        <w:t xml:space="preserve"> -</w:t>
      </w:r>
      <w:r w:rsidRPr="00337E89">
        <w:rPr>
          <w:rFonts w:ascii="Arial" w:hAnsi="Arial" w:cs="Arial"/>
          <w:sz w:val="24"/>
          <w:szCs w:val="24"/>
        </w:rPr>
        <w:t xml:space="preserve"> Os subsídios do Prefeito, Vice-Prefeito, Secretários e Vereadores podem ser majorados para a próxima legislatura, desde que a sua eficácia ocorra a partir do exercício de 2022, nos termos do que autoriza a LC nº 173, art. 8º, § 3º.</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13</w:t>
      </w:r>
      <w:r w:rsidR="005E0502">
        <w:rPr>
          <w:rFonts w:ascii="Arial" w:hAnsi="Arial" w:cs="Arial"/>
          <w:b/>
          <w:bCs/>
          <w:sz w:val="24"/>
          <w:szCs w:val="24"/>
        </w:rPr>
        <w:t xml:space="preserve"> -</w:t>
      </w:r>
      <w:r w:rsidRPr="00337E89">
        <w:rPr>
          <w:rFonts w:ascii="Arial" w:hAnsi="Arial" w:cs="Arial"/>
          <w:sz w:val="24"/>
          <w:szCs w:val="24"/>
        </w:rPr>
        <w:t xml:space="preserve"> A criação de despesas obrigatórias de caráter continuado fica condicionada e autorizada:</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 </w:t>
      </w:r>
      <w:r w:rsidR="005E0502">
        <w:rPr>
          <w:rFonts w:ascii="Arial" w:hAnsi="Arial" w:cs="Arial"/>
          <w:sz w:val="24"/>
          <w:szCs w:val="24"/>
        </w:rPr>
        <w:t>–</w:t>
      </w:r>
      <w:r w:rsidRPr="00337E89">
        <w:rPr>
          <w:rFonts w:ascii="Arial" w:hAnsi="Arial" w:cs="Arial"/>
          <w:sz w:val="24"/>
          <w:szCs w:val="24"/>
        </w:rPr>
        <w:t xml:space="preserve"> </w:t>
      </w:r>
      <w:r w:rsidR="005E0502">
        <w:rPr>
          <w:rFonts w:ascii="Arial" w:hAnsi="Arial" w:cs="Arial"/>
          <w:sz w:val="24"/>
          <w:szCs w:val="24"/>
        </w:rPr>
        <w:t>C</w:t>
      </w:r>
      <w:r w:rsidRPr="00337E89">
        <w:rPr>
          <w:rFonts w:ascii="Arial" w:hAnsi="Arial" w:cs="Arial"/>
          <w:sz w:val="24"/>
          <w:szCs w:val="24"/>
        </w:rPr>
        <w:t>omo parte integrante de medidas de combate à calamidade pública COVID-19, sem a observância de medidas de compensação e impactos fiscais, cuja vigência e efeitos não ultrapassem a duração da calamidade, ou;</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II – </w:t>
      </w:r>
      <w:r w:rsidR="005E0502">
        <w:rPr>
          <w:rFonts w:ascii="Arial" w:hAnsi="Arial" w:cs="Arial"/>
          <w:sz w:val="24"/>
          <w:szCs w:val="24"/>
        </w:rPr>
        <w:t>S</w:t>
      </w:r>
      <w:r w:rsidRPr="00337E89">
        <w:rPr>
          <w:rFonts w:ascii="Arial" w:hAnsi="Arial" w:cs="Arial"/>
          <w:sz w:val="24"/>
          <w:szCs w:val="24"/>
        </w:rPr>
        <w:t>ejam oferecidas as medidas de compensação, nos termos da LC nº 173, art. 8º, § 2º, incisos I e II.</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14</w:t>
      </w:r>
      <w:r w:rsidR="005E0502">
        <w:rPr>
          <w:rFonts w:ascii="Arial" w:hAnsi="Arial" w:cs="Arial"/>
          <w:b/>
          <w:bCs/>
          <w:sz w:val="24"/>
          <w:szCs w:val="24"/>
        </w:rPr>
        <w:t xml:space="preserve"> -</w:t>
      </w:r>
      <w:r w:rsidRPr="00337E89">
        <w:rPr>
          <w:rFonts w:ascii="Arial" w:hAnsi="Arial" w:cs="Arial"/>
          <w:sz w:val="24"/>
          <w:szCs w:val="24"/>
        </w:rPr>
        <w:t xml:space="preserve"> O reajuste das despesas obrigatórias de caráter continuado somente será possível até o limite da variação da inflação medida pelo Índice Nacional de Preços ao Consumidor Amplo (IPCA), nos termos da LC nº 173, art. 8º, VIII.</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15</w:t>
      </w:r>
      <w:r w:rsidR="005E0502">
        <w:rPr>
          <w:rFonts w:ascii="Arial" w:hAnsi="Arial" w:cs="Arial"/>
          <w:b/>
          <w:bCs/>
          <w:sz w:val="24"/>
          <w:szCs w:val="24"/>
        </w:rPr>
        <w:t xml:space="preserve"> -</w:t>
      </w:r>
      <w:r w:rsidRPr="00337E89">
        <w:rPr>
          <w:rFonts w:ascii="Arial" w:hAnsi="Arial" w:cs="Arial"/>
          <w:sz w:val="24"/>
          <w:szCs w:val="24"/>
        </w:rPr>
        <w:t xml:space="preserve"> No exercício de 2021 a realização de serviço extraordinário, quando a despesa houver ultrapassado os 51,3% e 5,7%, respectivamente, no Poder Executivo e Legislativo, somente poderá ocorrer quando destinada ao </w:t>
      </w:r>
      <w:r w:rsidRPr="00337E89">
        <w:rPr>
          <w:rFonts w:ascii="Arial" w:hAnsi="Arial" w:cs="Arial"/>
          <w:sz w:val="24"/>
          <w:szCs w:val="24"/>
        </w:rPr>
        <w:lastRenderedPageBreak/>
        <w:t>atendimento de relevantes interesses públicos que ensejam situações emergenciais, de risco ou de prejuízo para a sociedade, dentre estes:</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 – </w:t>
      </w:r>
      <w:r w:rsidR="005E0502" w:rsidRPr="00337E89">
        <w:rPr>
          <w:rFonts w:ascii="Arial" w:hAnsi="Arial" w:cs="Arial"/>
          <w:sz w:val="24"/>
          <w:szCs w:val="24"/>
        </w:rPr>
        <w:t>Situações</w:t>
      </w:r>
      <w:r w:rsidRPr="00337E89">
        <w:rPr>
          <w:rFonts w:ascii="Arial" w:hAnsi="Arial" w:cs="Arial"/>
          <w:sz w:val="24"/>
          <w:szCs w:val="24"/>
        </w:rPr>
        <w:t xml:space="preserve"> de emergência ou calamidade pública;</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II – </w:t>
      </w:r>
      <w:r w:rsidR="005E0502" w:rsidRPr="00337E89">
        <w:rPr>
          <w:rFonts w:ascii="Arial" w:hAnsi="Arial" w:cs="Arial"/>
          <w:sz w:val="24"/>
          <w:szCs w:val="24"/>
        </w:rPr>
        <w:t>Situações</w:t>
      </w:r>
      <w:r w:rsidRPr="00337E89">
        <w:rPr>
          <w:rFonts w:ascii="Arial" w:hAnsi="Arial" w:cs="Arial"/>
          <w:sz w:val="24"/>
          <w:szCs w:val="24"/>
        </w:rPr>
        <w:t xml:space="preserve"> em que possam estar em risco à segurança de pessoas ou bens;</w:t>
      </w:r>
    </w:p>
    <w:p w:rsidR="00337E89" w:rsidRPr="00337E89" w:rsidRDefault="00337E89" w:rsidP="00337E89">
      <w:pPr>
        <w:spacing w:line="360" w:lineRule="exact"/>
        <w:ind w:firstLine="709"/>
        <w:jc w:val="both"/>
        <w:rPr>
          <w:rFonts w:ascii="Arial" w:hAnsi="Arial" w:cs="Arial"/>
          <w:sz w:val="24"/>
          <w:szCs w:val="24"/>
        </w:rPr>
      </w:pPr>
      <w:r w:rsidRPr="00337E89">
        <w:rPr>
          <w:rFonts w:ascii="Arial" w:hAnsi="Arial" w:cs="Arial"/>
          <w:sz w:val="24"/>
          <w:szCs w:val="24"/>
        </w:rPr>
        <w:t xml:space="preserve">III – </w:t>
      </w:r>
      <w:r w:rsidR="005E0502">
        <w:rPr>
          <w:rFonts w:ascii="Arial" w:hAnsi="Arial" w:cs="Arial"/>
          <w:sz w:val="24"/>
          <w:szCs w:val="24"/>
        </w:rPr>
        <w:t>A</w:t>
      </w:r>
      <w:r w:rsidRPr="00337E89">
        <w:rPr>
          <w:rFonts w:ascii="Arial" w:hAnsi="Arial" w:cs="Arial"/>
          <w:sz w:val="24"/>
          <w:szCs w:val="24"/>
        </w:rPr>
        <w:t xml:space="preserve"> relação custo-benefício se revelar favorável em relação à outra alternativa possível em situações momentâneas; </w:t>
      </w:r>
    </w:p>
    <w:p w:rsidR="00337E89" w:rsidRPr="00337E89" w:rsidRDefault="00337E89" w:rsidP="00337E89">
      <w:pPr>
        <w:spacing w:line="360" w:lineRule="exact"/>
        <w:ind w:firstLine="709"/>
        <w:jc w:val="both"/>
        <w:rPr>
          <w:rFonts w:ascii="Arial" w:hAnsi="Arial" w:cs="Arial"/>
          <w:sz w:val="24"/>
          <w:szCs w:val="24"/>
        </w:rPr>
      </w:pPr>
    </w:p>
    <w:p w:rsidR="00337E89" w:rsidRPr="005E0502" w:rsidRDefault="00337E89" w:rsidP="005E0502">
      <w:pPr>
        <w:spacing w:line="360" w:lineRule="exact"/>
        <w:jc w:val="center"/>
        <w:rPr>
          <w:rFonts w:ascii="Arial" w:hAnsi="Arial" w:cs="Arial"/>
          <w:b/>
          <w:bCs/>
          <w:sz w:val="24"/>
          <w:szCs w:val="24"/>
        </w:rPr>
      </w:pPr>
      <w:r w:rsidRPr="005E0502">
        <w:rPr>
          <w:rFonts w:ascii="Arial" w:hAnsi="Arial" w:cs="Arial"/>
          <w:b/>
          <w:bCs/>
          <w:sz w:val="24"/>
          <w:szCs w:val="24"/>
        </w:rPr>
        <w:t>CAPÍTULO VI</w:t>
      </w:r>
    </w:p>
    <w:p w:rsidR="00337E89" w:rsidRPr="005E0502" w:rsidRDefault="00337E89" w:rsidP="005E0502">
      <w:pPr>
        <w:spacing w:line="360" w:lineRule="exact"/>
        <w:jc w:val="center"/>
        <w:rPr>
          <w:rFonts w:ascii="Arial" w:hAnsi="Arial" w:cs="Arial"/>
          <w:b/>
          <w:bCs/>
          <w:sz w:val="24"/>
          <w:szCs w:val="24"/>
        </w:rPr>
      </w:pPr>
      <w:r w:rsidRPr="005E0502">
        <w:rPr>
          <w:rFonts w:ascii="Arial" w:hAnsi="Arial" w:cs="Arial"/>
          <w:b/>
          <w:bCs/>
          <w:sz w:val="24"/>
          <w:szCs w:val="24"/>
        </w:rPr>
        <w:t>DAS METAS FISCAIS</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16</w:t>
      </w:r>
      <w:r w:rsidR="005E0502">
        <w:rPr>
          <w:rFonts w:ascii="Arial" w:hAnsi="Arial" w:cs="Arial"/>
          <w:sz w:val="24"/>
          <w:szCs w:val="24"/>
        </w:rPr>
        <w:t xml:space="preserve"> </w:t>
      </w:r>
      <w:r w:rsidR="005E0502" w:rsidRPr="005E0502">
        <w:rPr>
          <w:rFonts w:ascii="Arial" w:hAnsi="Arial" w:cs="Arial"/>
          <w:b/>
          <w:bCs/>
          <w:sz w:val="24"/>
          <w:szCs w:val="24"/>
        </w:rPr>
        <w:t>-</w:t>
      </w:r>
      <w:r w:rsidRPr="00337E89">
        <w:rPr>
          <w:rFonts w:ascii="Arial" w:hAnsi="Arial" w:cs="Arial"/>
          <w:sz w:val="24"/>
          <w:szCs w:val="24"/>
        </w:rPr>
        <w:t xml:space="preserve"> As metas de resultado fiscal nominal e primário, fixadas nesta lei serão atualizadas pela lei orçamentária anual.</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17</w:t>
      </w:r>
      <w:r w:rsidR="005E0502">
        <w:rPr>
          <w:rFonts w:ascii="Arial" w:hAnsi="Arial" w:cs="Arial"/>
          <w:b/>
          <w:bCs/>
          <w:sz w:val="24"/>
          <w:szCs w:val="24"/>
        </w:rPr>
        <w:t xml:space="preserve"> -</w:t>
      </w:r>
      <w:r w:rsidRPr="00337E89">
        <w:rPr>
          <w:rFonts w:ascii="Arial" w:hAnsi="Arial" w:cs="Arial"/>
          <w:sz w:val="24"/>
          <w:szCs w:val="24"/>
        </w:rPr>
        <w:t xml:space="preserve"> A limitação de empenho e movimentação financeira de que trata o art. 9o da Lei Complementar no 101, de 2000, será efetivada, separadamente, por cada Poder do Município, em ato próprio.</w:t>
      </w:r>
    </w:p>
    <w:p w:rsidR="00337E89" w:rsidRPr="00337E89" w:rsidRDefault="00337E89" w:rsidP="00337E89">
      <w:pPr>
        <w:spacing w:line="360" w:lineRule="exact"/>
        <w:ind w:firstLine="709"/>
        <w:jc w:val="both"/>
        <w:rPr>
          <w:rFonts w:ascii="Arial" w:hAnsi="Arial" w:cs="Arial"/>
          <w:sz w:val="24"/>
          <w:szCs w:val="24"/>
        </w:rPr>
      </w:pPr>
    </w:p>
    <w:p w:rsidR="00337E89" w:rsidRPr="005E0502" w:rsidRDefault="00337E89" w:rsidP="005E0502">
      <w:pPr>
        <w:spacing w:line="360" w:lineRule="exact"/>
        <w:jc w:val="center"/>
        <w:rPr>
          <w:rFonts w:ascii="Arial" w:hAnsi="Arial" w:cs="Arial"/>
          <w:b/>
          <w:bCs/>
          <w:sz w:val="24"/>
          <w:szCs w:val="24"/>
        </w:rPr>
      </w:pPr>
      <w:r w:rsidRPr="005E0502">
        <w:rPr>
          <w:rFonts w:ascii="Arial" w:hAnsi="Arial" w:cs="Arial"/>
          <w:b/>
          <w:bCs/>
          <w:sz w:val="24"/>
          <w:szCs w:val="24"/>
        </w:rPr>
        <w:t>CAPÍTULO VII</w:t>
      </w:r>
    </w:p>
    <w:p w:rsidR="00337E89" w:rsidRPr="005E0502" w:rsidRDefault="00337E89" w:rsidP="005E0502">
      <w:pPr>
        <w:spacing w:line="360" w:lineRule="exact"/>
        <w:jc w:val="center"/>
        <w:rPr>
          <w:rFonts w:ascii="Arial" w:hAnsi="Arial" w:cs="Arial"/>
          <w:b/>
          <w:bCs/>
          <w:sz w:val="24"/>
          <w:szCs w:val="24"/>
        </w:rPr>
      </w:pPr>
      <w:r w:rsidRPr="005E0502">
        <w:rPr>
          <w:rFonts w:ascii="Arial" w:hAnsi="Arial" w:cs="Arial"/>
          <w:b/>
          <w:bCs/>
          <w:sz w:val="24"/>
          <w:szCs w:val="24"/>
        </w:rPr>
        <w:t>DAS DISPOSIÇÕES GERAIS E FINAIS</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18</w:t>
      </w:r>
      <w:r w:rsidR="005E0502">
        <w:rPr>
          <w:rFonts w:ascii="Arial" w:hAnsi="Arial" w:cs="Arial"/>
          <w:b/>
          <w:bCs/>
          <w:sz w:val="24"/>
          <w:szCs w:val="24"/>
        </w:rPr>
        <w:t xml:space="preserve"> -</w:t>
      </w:r>
      <w:r w:rsidRPr="00337E89">
        <w:rPr>
          <w:rFonts w:ascii="Arial" w:hAnsi="Arial" w:cs="Arial"/>
          <w:sz w:val="24"/>
          <w:szCs w:val="24"/>
        </w:rPr>
        <w:t xml:space="preserve"> Na política de administração tributária do Município ficam autorizadas a subvenção econômica, subsídios, renúncia fiscal e auxílios a empresas, agricultores, pessoas físicas ou entidades associativas com o objetivo de incentivos econômicos para o aumento da produção e a renda, nos termos da lei geral de incentivos.</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19</w:t>
      </w:r>
      <w:r w:rsidR="005E0502">
        <w:rPr>
          <w:rFonts w:ascii="Arial" w:hAnsi="Arial" w:cs="Arial"/>
          <w:b/>
          <w:bCs/>
          <w:sz w:val="24"/>
          <w:szCs w:val="24"/>
        </w:rPr>
        <w:t xml:space="preserve"> -</w:t>
      </w:r>
      <w:r w:rsidRPr="00337E89">
        <w:rPr>
          <w:rFonts w:ascii="Arial" w:hAnsi="Arial" w:cs="Arial"/>
          <w:sz w:val="24"/>
          <w:szCs w:val="24"/>
        </w:rPr>
        <w:t xml:space="preserve"> Para fins de cumprimento do art. 62 da Lei Complementar no 101, de 2000, fica o Município autorizado a firmar convênio ou congêneres, com a União ou o Estado, com vistas ao desenvolvimento local e objetivos definidos em lei específica.</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20</w:t>
      </w:r>
      <w:r w:rsidR="005E0502">
        <w:rPr>
          <w:rFonts w:ascii="Arial" w:hAnsi="Arial" w:cs="Arial"/>
          <w:b/>
          <w:bCs/>
          <w:sz w:val="24"/>
          <w:szCs w:val="24"/>
        </w:rPr>
        <w:t xml:space="preserve"> -</w:t>
      </w:r>
      <w:r w:rsidRPr="005E0502">
        <w:rPr>
          <w:rFonts w:ascii="Arial" w:hAnsi="Arial" w:cs="Arial"/>
          <w:b/>
          <w:bCs/>
          <w:sz w:val="24"/>
          <w:szCs w:val="24"/>
        </w:rPr>
        <w:t xml:space="preserve"> </w:t>
      </w:r>
      <w:r w:rsidRPr="00337E89">
        <w:rPr>
          <w:rFonts w:ascii="Arial" w:hAnsi="Arial" w:cs="Arial"/>
          <w:sz w:val="24"/>
          <w:szCs w:val="24"/>
        </w:rPr>
        <w:t>Para os efeitos do art. 16 da Lei Complementar no 101, de 2000, § 3o, são consideradas despesas irrelevantes aquelas cujos valores não ultrapassarem os limites a que se referem os incisos I, II do art. 24 da Lei no 8.666, de 1993.</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21</w:t>
      </w:r>
      <w:r w:rsidR="005E0502">
        <w:rPr>
          <w:rFonts w:ascii="Arial" w:hAnsi="Arial" w:cs="Arial"/>
          <w:b/>
          <w:bCs/>
          <w:sz w:val="24"/>
          <w:szCs w:val="24"/>
        </w:rPr>
        <w:t xml:space="preserve"> -</w:t>
      </w:r>
      <w:r w:rsidRPr="00337E89">
        <w:rPr>
          <w:rFonts w:ascii="Arial" w:hAnsi="Arial" w:cs="Arial"/>
          <w:sz w:val="24"/>
          <w:szCs w:val="24"/>
        </w:rPr>
        <w:t xml:space="preserve"> A apuração do custo das ações e dos programas, de que trata o art. 4º, inciso I, alínea “e” da LC nº 101/2000, se dará pela apuração dos custos dos produtos registrados por competência, de acordo com as ações orçamentárias, nos termos da Portaria MOG nº 42/99.</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lastRenderedPageBreak/>
        <w:t>Art. 22</w:t>
      </w:r>
      <w:r w:rsidR="005E0502">
        <w:rPr>
          <w:rFonts w:ascii="Arial" w:hAnsi="Arial" w:cs="Arial"/>
          <w:b/>
          <w:bCs/>
          <w:sz w:val="24"/>
          <w:szCs w:val="24"/>
        </w:rPr>
        <w:t xml:space="preserve"> -</w:t>
      </w:r>
      <w:r w:rsidRPr="005E0502">
        <w:rPr>
          <w:rFonts w:ascii="Arial" w:hAnsi="Arial" w:cs="Arial"/>
          <w:sz w:val="24"/>
          <w:szCs w:val="24"/>
        </w:rPr>
        <w:t xml:space="preserve"> </w:t>
      </w:r>
      <w:r w:rsidRPr="00337E89">
        <w:rPr>
          <w:rFonts w:ascii="Arial" w:hAnsi="Arial" w:cs="Arial"/>
          <w:sz w:val="24"/>
          <w:szCs w:val="24"/>
        </w:rPr>
        <w:t>A avaliação dos programas de governo, nos termos da Lei Complementar no 101, de 2000, art. 4o, I, alínea “e”, se dará através da prestação de contas do governo.</w:t>
      </w:r>
    </w:p>
    <w:p w:rsidR="00337E89" w:rsidRPr="00337E89" w:rsidRDefault="00337E89" w:rsidP="00337E89">
      <w:pPr>
        <w:spacing w:line="360" w:lineRule="exact"/>
        <w:ind w:firstLine="709"/>
        <w:jc w:val="both"/>
        <w:rPr>
          <w:rFonts w:ascii="Arial" w:hAnsi="Arial" w:cs="Arial"/>
          <w:sz w:val="24"/>
          <w:szCs w:val="24"/>
        </w:rPr>
      </w:pPr>
      <w:r w:rsidRPr="005E0502">
        <w:rPr>
          <w:rFonts w:ascii="Arial" w:hAnsi="Arial" w:cs="Arial"/>
          <w:b/>
          <w:bCs/>
          <w:sz w:val="24"/>
          <w:szCs w:val="24"/>
        </w:rPr>
        <w:t>Art. 23</w:t>
      </w:r>
      <w:r w:rsidR="005E0502">
        <w:rPr>
          <w:rFonts w:ascii="Arial" w:hAnsi="Arial" w:cs="Arial"/>
          <w:b/>
          <w:bCs/>
          <w:sz w:val="24"/>
          <w:szCs w:val="24"/>
        </w:rPr>
        <w:t xml:space="preserve"> -</w:t>
      </w:r>
      <w:r w:rsidRPr="00337E89">
        <w:rPr>
          <w:rFonts w:ascii="Arial" w:hAnsi="Arial" w:cs="Arial"/>
          <w:sz w:val="24"/>
          <w:szCs w:val="24"/>
        </w:rPr>
        <w:t xml:space="preserve"> Se o projeto de lei orçamentária não for publicado até 31 de dezembro de 2020, até que este ocorra, a programação dele constante poderá ser executada.</w:t>
      </w:r>
    </w:p>
    <w:p w:rsidR="007C399A" w:rsidRPr="007C399A" w:rsidRDefault="00337E89" w:rsidP="00337E89">
      <w:pPr>
        <w:spacing w:line="360" w:lineRule="exact"/>
        <w:ind w:firstLine="709"/>
        <w:jc w:val="both"/>
        <w:rPr>
          <w:rFonts w:ascii="Arial" w:hAnsi="Arial" w:cs="Arial"/>
          <w:b/>
          <w:bCs/>
          <w:sz w:val="24"/>
          <w:szCs w:val="24"/>
        </w:rPr>
      </w:pPr>
      <w:r w:rsidRPr="005E0502">
        <w:rPr>
          <w:rFonts w:ascii="Arial" w:hAnsi="Arial" w:cs="Arial"/>
          <w:b/>
          <w:bCs/>
          <w:sz w:val="24"/>
          <w:szCs w:val="24"/>
        </w:rPr>
        <w:t>Art. 24</w:t>
      </w:r>
      <w:r w:rsidR="005E0502">
        <w:rPr>
          <w:rFonts w:ascii="Arial" w:hAnsi="Arial" w:cs="Arial"/>
          <w:b/>
          <w:bCs/>
          <w:sz w:val="24"/>
          <w:szCs w:val="24"/>
        </w:rPr>
        <w:t xml:space="preserve"> -</w:t>
      </w:r>
      <w:r w:rsidRPr="00337E89">
        <w:rPr>
          <w:rFonts w:ascii="Arial" w:hAnsi="Arial" w:cs="Arial"/>
          <w:sz w:val="24"/>
          <w:szCs w:val="24"/>
        </w:rPr>
        <w:t xml:space="preserve"> Esta Lei entra em vigor na data de sua publicação.</w:t>
      </w:r>
    </w:p>
    <w:p w:rsidR="004D2583" w:rsidRDefault="004D2583" w:rsidP="004D2583">
      <w:pPr>
        <w:pStyle w:val="Recuodecorpodetexto3"/>
        <w:spacing w:after="0" w:line="360" w:lineRule="exact"/>
        <w:ind w:left="0"/>
        <w:jc w:val="center"/>
        <w:rPr>
          <w:rFonts w:ascii="Arial" w:hAnsi="Arial" w:cs="Arial"/>
          <w:b/>
          <w:sz w:val="24"/>
          <w:szCs w:val="24"/>
        </w:rPr>
      </w:pPr>
    </w:p>
    <w:p w:rsidR="002737DA" w:rsidRPr="00CF55BE" w:rsidRDefault="002737DA" w:rsidP="004D2583">
      <w:pPr>
        <w:pStyle w:val="Recuodecorpodetexto3"/>
        <w:spacing w:after="0" w:line="360" w:lineRule="exact"/>
        <w:ind w:left="0"/>
        <w:jc w:val="center"/>
        <w:rPr>
          <w:rFonts w:ascii="Arial" w:hAnsi="Arial" w:cs="Arial"/>
          <w:sz w:val="24"/>
          <w:szCs w:val="24"/>
        </w:rPr>
      </w:pPr>
      <w:r w:rsidRPr="00CF55BE">
        <w:rPr>
          <w:rFonts w:ascii="Arial" w:hAnsi="Arial" w:cs="Arial"/>
          <w:b/>
          <w:sz w:val="24"/>
          <w:szCs w:val="24"/>
        </w:rPr>
        <w:t>GABINETE DO PREFEITO MUNICIPAL DE DONA FRANCISCA</w:t>
      </w:r>
      <w:r w:rsidRPr="00CF55BE">
        <w:rPr>
          <w:rFonts w:ascii="Arial" w:hAnsi="Arial" w:cs="Arial"/>
          <w:sz w:val="24"/>
          <w:szCs w:val="24"/>
        </w:rPr>
        <w:t xml:space="preserve">, </w:t>
      </w:r>
      <w:r w:rsidR="00F41B11">
        <w:rPr>
          <w:rFonts w:ascii="Arial" w:hAnsi="Arial" w:cs="Arial"/>
          <w:sz w:val="24"/>
          <w:szCs w:val="24"/>
        </w:rPr>
        <w:t xml:space="preserve">aos </w:t>
      </w:r>
      <w:r w:rsidR="0080325A">
        <w:rPr>
          <w:rFonts w:ascii="Arial" w:hAnsi="Arial" w:cs="Arial"/>
          <w:sz w:val="24"/>
          <w:szCs w:val="24"/>
        </w:rPr>
        <w:t>onze</w:t>
      </w:r>
      <w:r w:rsidR="004D2583">
        <w:rPr>
          <w:rFonts w:ascii="Arial" w:hAnsi="Arial" w:cs="Arial"/>
          <w:sz w:val="24"/>
          <w:szCs w:val="24"/>
        </w:rPr>
        <w:t xml:space="preserve"> </w:t>
      </w:r>
      <w:r w:rsidR="00AE260E" w:rsidRPr="00CF55BE">
        <w:rPr>
          <w:rFonts w:ascii="Arial" w:hAnsi="Arial" w:cs="Arial"/>
          <w:sz w:val="24"/>
          <w:szCs w:val="24"/>
        </w:rPr>
        <w:t>dia</w:t>
      </w:r>
      <w:r w:rsidR="00F41B11">
        <w:rPr>
          <w:rFonts w:ascii="Arial" w:hAnsi="Arial" w:cs="Arial"/>
          <w:sz w:val="24"/>
          <w:szCs w:val="24"/>
        </w:rPr>
        <w:t>s</w:t>
      </w:r>
      <w:r w:rsidR="00AE260E" w:rsidRPr="00CF55BE">
        <w:rPr>
          <w:rFonts w:ascii="Arial" w:hAnsi="Arial" w:cs="Arial"/>
          <w:sz w:val="24"/>
          <w:szCs w:val="24"/>
        </w:rPr>
        <w:t xml:space="preserve"> do mês de </w:t>
      </w:r>
      <w:r w:rsidR="0080325A">
        <w:rPr>
          <w:rFonts w:ascii="Arial" w:hAnsi="Arial" w:cs="Arial"/>
          <w:sz w:val="24"/>
          <w:szCs w:val="24"/>
        </w:rPr>
        <w:t>novembro</w:t>
      </w:r>
      <w:r w:rsidR="00AE260E" w:rsidRPr="00CF55BE">
        <w:rPr>
          <w:rFonts w:ascii="Arial" w:hAnsi="Arial" w:cs="Arial"/>
          <w:sz w:val="24"/>
          <w:szCs w:val="24"/>
        </w:rPr>
        <w:t xml:space="preserve"> do ano </w:t>
      </w:r>
      <w:r w:rsidRPr="00CF55BE">
        <w:rPr>
          <w:rFonts w:ascii="Arial" w:hAnsi="Arial" w:cs="Arial"/>
          <w:sz w:val="24"/>
          <w:szCs w:val="24"/>
        </w:rPr>
        <w:t>de dois mil e vinte.</w:t>
      </w:r>
    </w:p>
    <w:p w:rsidR="0038200C" w:rsidRPr="00CF55BE" w:rsidRDefault="0038200C" w:rsidP="00CF55BE">
      <w:pPr>
        <w:spacing w:line="360" w:lineRule="auto"/>
        <w:jc w:val="center"/>
        <w:rPr>
          <w:rFonts w:ascii="Arial" w:hAnsi="Arial" w:cs="Arial"/>
          <w:b/>
          <w:sz w:val="24"/>
          <w:szCs w:val="24"/>
        </w:rPr>
      </w:pPr>
    </w:p>
    <w:p w:rsidR="002737DA" w:rsidRPr="00CF55BE" w:rsidRDefault="002737DA" w:rsidP="0022683C">
      <w:pPr>
        <w:jc w:val="center"/>
        <w:rPr>
          <w:rFonts w:ascii="Arial" w:hAnsi="Arial" w:cs="Arial"/>
          <w:b/>
          <w:sz w:val="24"/>
          <w:szCs w:val="24"/>
        </w:rPr>
      </w:pPr>
      <w:r w:rsidRPr="00CF55BE">
        <w:rPr>
          <w:rFonts w:ascii="Arial" w:hAnsi="Arial" w:cs="Arial"/>
          <w:b/>
          <w:sz w:val="24"/>
          <w:szCs w:val="24"/>
        </w:rPr>
        <w:t>EDALEO DAL</w:t>
      </w:r>
      <w:r w:rsidR="00A32783" w:rsidRPr="00CF55BE">
        <w:rPr>
          <w:rFonts w:ascii="Arial" w:hAnsi="Arial" w:cs="Arial"/>
          <w:b/>
          <w:sz w:val="24"/>
          <w:szCs w:val="24"/>
        </w:rPr>
        <w:t>L</w:t>
      </w:r>
      <w:r w:rsidRPr="00CF55BE">
        <w:rPr>
          <w:rFonts w:ascii="Arial" w:hAnsi="Arial" w:cs="Arial"/>
          <w:b/>
          <w:sz w:val="24"/>
          <w:szCs w:val="24"/>
        </w:rPr>
        <w:t>A NORA</w:t>
      </w:r>
    </w:p>
    <w:p w:rsidR="002737DA" w:rsidRDefault="002737DA" w:rsidP="0022683C">
      <w:pPr>
        <w:jc w:val="center"/>
        <w:rPr>
          <w:rFonts w:ascii="Arial" w:hAnsi="Arial" w:cs="Arial"/>
          <w:b/>
          <w:sz w:val="24"/>
          <w:szCs w:val="24"/>
        </w:rPr>
      </w:pPr>
      <w:r w:rsidRPr="00CF55BE">
        <w:rPr>
          <w:rFonts w:ascii="Arial" w:hAnsi="Arial" w:cs="Arial"/>
          <w:b/>
          <w:sz w:val="24"/>
          <w:szCs w:val="24"/>
        </w:rPr>
        <w:t>Prefeito Municipal</w:t>
      </w:r>
    </w:p>
    <w:p w:rsidR="0022683C" w:rsidRDefault="0022683C"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80325A" w:rsidRDefault="0080325A" w:rsidP="0022683C">
      <w:pPr>
        <w:jc w:val="center"/>
        <w:rPr>
          <w:rFonts w:ascii="Arial" w:hAnsi="Arial" w:cs="Arial"/>
          <w:b/>
          <w:sz w:val="24"/>
          <w:szCs w:val="24"/>
        </w:rPr>
      </w:pPr>
    </w:p>
    <w:p w:rsidR="002737DA" w:rsidRPr="00CF55BE" w:rsidRDefault="002737DA" w:rsidP="0022683C">
      <w:pPr>
        <w:pStyle w:val="Corpodetexto2"/>
        <w:spacing w:after="0" w:line="240" w:lineRule="auto"/>
        <w:rPr>
          <w:rFonts w:ascii="Arial" w:hAnsi="Arial" w:cs="Arial"/>
          <w:bCs/>
          <w:sz w:val="24"/>
          <w:szCs w:val="24"/>
        </w:rPr>
      </w:pPr>
      <w:r w:rsidRPr="00CF55BE">
        <w:rPr>
          <w:rFonts w:ascii="Arial" w:hAnsi="Arial" w:cs="Arial"/>
          <w:bCs/>
          <w:sz w:val="24"/>
          <w:szCs w:val="24"/>
        </w:rPr>
        <w:t>Registre-se e Publique-se</w:t>
      </w:r>
    </w:p>
    <w:p w:rsidR="002737DA" w:rsidRPr="00CF55BE" w:rsidRDefault="002737DA" w:rsidP="0022683C">
      <w:pPr>
        <w:pStyle w:val="Corpodetexto2"/>
        <w:spacing w:after="0" w:line="240" w:lineRule="auto"/>
        <w:rPr>
          <w:rFonts w:ascii="Arial" w:hAnsi="Arial" w:cs="Arial"/>
          <w:bCs/>
          <w:sz w:val="24"/>
          <w:szCs w:val="24"/>
        </w:rPr>
      </w:pPr>
      <w:r w:rsidRPr="00CF55BE">
        <w:rPr>
          <w:rFonts w:ascii="Arial" w:hAnsi="Arial" w:cs="Arial"/>
          <w:bCs/>
          <w:sz w:val="24"/>
          <w:szCs w:val="24"/>
        </w:rPr>
        <w:t xml:space="preserve">Em </w:t>
      </w:r>
      <w:r w:rsidR="0080325A">
        <w:rPr>
          <w:rFonts w:ascii="Arial" w:hAnsi="Arial" w:cs="Arial"/>
          <w:bCs/>
          <w:sz w:val="24"/>
          <w:szCs w:val="24"/>
        </w:rPr>
        <w:t>11 de novembro</w:t>
      </w:r>
      <w:bookmarkStart w:id="0" w:name="_GoBack"/>
      <w:bookmarkEnd w:id="0"/>
      <w:r w:rsidRPr="00CF55BE">
        <w:rPr>
          <w:rFonts w:ascii="Arial" w:hAnsi="Arial" w:cs="Arial"/>
          <w:bCs/>
          <w:sz w:val="24"/>
          <w:szCs w:val="24"/>
        </w:rPr>
        <w:t xml:space="preserve"> de 2020.</w:t>
      </w:r>
    </w:p>
    <w:p w:rsidR="0020091C" w:rsidRPr="00CF55BE" w:rsidRDefault="0020091C" w:rsidP="0022683C">
      <w:pPr>
        <w:pStyle w:val="Corpodetexto2"/>
        <w:spacing w:after="0" w:line="240" w:lineRule="auto"/>
        <w:rPr>
          <w:rFonts w:ascii="Arial" w:hAnsi="Arial" w:cs="Arial"/>
          <w:bCs/>
          <w:sz w:val="24"/>
          <w:szCs w:val="24"/>
        </w:rPr>
      </w:pPr>
    </w:p>
    <w:p w:rsidR="002737DA" w:rsidRPr="00CF55BE" w:rsidRDefault="00AE37A9" w:rsidP="0022683C">
      <w:pPr>
        <w:pStyle w:val="Corpodetexto2"/>
        <w:spacing w:after="0" w:line="240" w:lineRule="auto"/>
        <w:rPr>
          <w:rFonts w:ascii="Arial" w:hAnsi="Arial" w:cs="Arial"/>
          <w:bCs/>
          <w:sz w:val="24"/>
          <w:szCs w:val="24"/>
        </w:rPr>
      </w:pPr>
      <w:r w:rsidRPr="00CF55BE">
        <w:rPr>
          <w:rFonts w:ascii="Arial" w:hAnsi="Arial" w:cs="Arial"/>
          <w:bCs/>
          <w:sz w:val="24"/>
          <w:szCs w:val="24"/>
        </w:rPr>
        <w:t>Laura Hermes</w:t>
      </w:r>
    </w:p>
    <w:p w:rsidR="0053701A" w:rsidRPr="00CF55BE" w:rsidRDefault="002737DA" w:rsidP="0022683C">
      <w:pPr>
        <w:rPr>
          <w:rFonts w:ascii="Arial" w:hAnsi="Arial" w:cs="Arial"/>
          <w:bCs/>
          <w:sz w:val="24"/>
          <w:szCs w:val="24"/>
        </w:rPr>
      </w:pPr>
      <w:r w:rsidRPr="00CF55BE">
        <w:rPr>
          <w:rFonts w:ascii="Arial" w:hAnsi="Arial" w:cs="Arial"/>
          <w:bCs/>
          <w:sz w:val="24"/>
          <w:szCs w:val="24"/>
        </w:rPr>
        <w:t>Secretári</w:t>
      </w:r>
      <w:r w:rsidR="00AE37A9" w:rsidRPr="00CF55BE">
        <w:rPr>
          <w:rFonts w:ascii="Arial" w:hAnsi="Arial" w:cs="Arial"/>
          <w:bCs/>
          <w:sz w:val="24"/>
          <w:szCs w:val="24"/>
        </w:rPr>
        <w:t>a</w:t>
      </w:r>
      <w:r w:rsidRPr="00CF55BE">
        <w:rPr>
          <w:rFonts w:ascii="Arial" w:hAnsi="Arial" w:cs="Arial"/>
          <w:bCs/>
          <w:sz w:val="24"/>
          <w:szCs w:val="24"/>
        </w:rPr>
        <w:t xml:space="preserve"> Municipal de </w:t>
      </w:r>
      <w:r w:rsidR="00AE37A9" w:rsidRPr="00CF55BE">
        <w:rPr>
          <w:rFonts w:ascii="Arial" w:hAnsi="Arial" w:cs="Arial"/>
          <w:bCs/>
          <w:sz w:val="24"/>
          <w:szCs w:val="24"/>
        </w:rPr>
        <w:t>Administração e Planejamento</w:t>
      </w:r>
    </w:p>
    <w:sectPr w:rsidR="0053701A" w:rsidRPr="00CF55BE" w:rsidSect="00F25F8D">
      <w:footerReference w:type="default" r:id="rId7"/>
      <w:pgSz w:w="11906" w:h="16838" w:code="9"/>
      <w:pgMar w:top="2268" w:right="1701" w:bottom="851"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66BD" w:rsidRDefault="00F866BD" w:rsidP="00BE1360">
      <w:r>
        <w:separator/>
      </w:r>
    </w:p>
  </w:endnote>
  <w:endnote w:type="continuationSeparator" w:id="1">
    <w:p w:rsidR="00F866BD" w:rsidRDefault="00F866BD" w:rsidP="00BE13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0826436"/>
      <w:docPartObj>
        <w:docPartGallery w:val="Page Numbers (Bottom of Page)"/>
        <w:docPartUnique/>
      </w:docPartObj>
    </w:sdtPr>
    <w:sdtEndPr>
      <w:rPr>
        <w:rFonts w:ascii="Arial" w:hAnsi="Arial" w:cs="Arial"/>
        <w:sz w:val="16"/>
        <w:szCs w:val="10"/>
      </w:rPr>
    </w:sdtEndPr>
    <w:sdtContent>
      <w:p w:rsidR="00015D3F" w:rsidRPr="00015D3F" w:rsidRDefault="00BD5548">
        <w:pPr>
          <w:pStyle w:val="Rodap"/>
          <w:jc w:val="right"/>
          <w:rPr>
            <w:rFonts w:ascii="Arial" w:hAnsi="Arial" w:cs="Arial"/>
            <w:sz w:val="16"/>
            <w:szCs w:val="10"/>
          </w:rPr>
        </w:pPr>
        <w:r w:rsidRPr="00015D3F">
          <w:rPr>
            <w:rFonts w:ascii="Arial" w:hAnsi="Arial" w:cs="Arial"/>
            <w:sz w:val="16"/>
            <w:szCs w:val="10"/>
          </w:rPr>
          <w:fldChar w:fldCharType="begin"/>
        </w:r>
        <w:r w:rsidR="00015D3F" w:rsidRPr="00015D3F">
          <w:rPr>
            <w:rFonts w:ascii="Arial" w:hAnsi="Arial" w:cs="Arial"/>
            <w:sz w:val="16"/>
            <w:szCs w:val="10"/>
          </w:rPr>
          <w:instrText>PAGE   \* MERGEFORMAT</w:instrText>
        </w:r>
        <w:r w:rsidRPr="00015D3F">
          <w:rPr>
            <w:rFonts w:ascii="Arial" w:hAnsi="Arial" w:cs="Arial"/>
            <w:sz w:val="16"/>
            <w:szCs w:val="10"/>
          </w:rPr>
          <w:fldChar w:fldCharType="separate"/>
        </w:r>
        <w:r w:rsidR="00B30D7E">
          <w:rPr>
            <w:rFonts w:ascii="Arial" w:hAnsi="Arial" w:cs="Arial"/>
            <w:noProof/>
            <w:sz w:val="16"/>
            <w:szCs w:val="10"/>
          </w:rPr>
          <w:t>1</w:t>
        </w:r>
        <w:r w:rsidRPr="00015D3F">
          <w:rPr>
            <w:rFonts w:ascii="Arial" w:hAnsi="Arial" w:cs="Arial"/>
            <w:sz w:val="16"/>
            <w:szCs w:val="10"/>
          </w:rPr>
          <w:fldChar w:fldCharType="end"/>
        </w:r>
      </w:p>
    </w:sdtContent>
  </w:sdt>
  <w:p w:rsidR="00015D3F" w:rsidRDefault="00015D3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66BD" w:rsidRDefault="00F866BD" w:rsidP="00BE1360">
      <w:r>
        <w:separator/>
      </w:r>
    </w:p>
  </w:footnote>
  <w:footnote w:type="continuationSeparator" w:id="1">
    <w:p w:rsidR="00F866BD" w:rsidRDefault="00F866BD" w:rsidP="00BE13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921C1"/>
    <w:multiLevelType w:val="hybridMultilevel"/>
    <w:tmpl w:val="86642A4C"/>
    <w:lvl w:ilvl="0" w:tplc="F3244612">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
    <w:nsid w:val="0E726DDF"/>
    <w:multiLevelType w:val="hybridMultilevel"/>
    <w:tmpl w:val="B080926A"/>
    <w:lvl w:ilvl="0" w:tplc="B6988BB8">
      <w:start w:val="1"/>
      <w:numFmt w:val="lowerLetter"/>
      <w:lvlText w:val="%1."/>
      <w:lvlJc w:val="left"/>
      <w:pPr>
        <w:ind w:left="2483" w:hanging="360"/>
      </w:pPr>
      <w:rPr>
        <w:rFonts w:hint="default"/>
      </w:rPr>
    </w:lvl>
    <w:lvl w:ilvl="1" w:tplc="556474E4">
      <w:start w:val="1"/>
      <w:numFmt w:val="lowerLetter"/>
      <w:lvlText w:val="%2."/>
      <w:lvlJc w:val="left"/>
      <w:pPr>
        <w:ind w:left="2345" w:hanging="360"/>
      </w:pPr>
      <w:rPr>
        <w:rFonts w:ascii="Arial" w:eastAsia="Times New Roman" w:hAnsi="Arial" w:cs="Arial"/>
      </w:rPr>
    </w:lvl>
    <w:lvl w:ilvl="2" w:tplc="0416001B" w:tentative="1">
      <w:start w:val="1"/>
      <w:numFmt w:val="lowerRoman"/>
      <w:lvlText w:val="%3."/>
      <w:lvlJc w:val="right"/>
      <w:pPr>
        <w:ind w:left="3923" w:hanging="180"/>
      </w:pPr>
    </w:lvl>
    <w:lvl w:ilvl="3" w:tplc="0416000F" w:tentative="1">
      <w:start w:val="1"/>
      <w:numFmt w:val="decimal"/>
      <w:lvlText w:val="%4."/>
      <w:lvlJc w:val="left"/>
      <w:pPr>
        <w:ind w:left="4643" w:hanging="360"/>
      </w:pPr>
    </w:lvl>
    <w:lvl w:ilvl="4" w:tplc="04160019" w:tentative="1">
      <w:start w:val="1"/>
      <w:numFmt w:val="lowerLetter"/>
      <w:lvlText w:val="%5."/>
      <w:lvlJc w:val="left"/>
      <w:pPr>
        <w:ind w:left="5363" w:hanging="360"/>
      </w:pPr>
    </w:lvl>
    <w:lvl w:ilvl="5" w:tplc="0416001B" w:tentative="1">
      <w:start w:val="1"/>
      <w:numFmt w:val="lowerRoman"/>
      <w:lvlText w:val="%6."/>
      <w:lvlJc w:val="right"/>
      <w:pPr>
        <w:ind w:left="6083" w:hanging="180"/>
      </w:pPr>
    </w:lvl>
    <w:lvl w:ilvl="6" w:tplc="0416000F" w:tentative="1">
      <w:start w:val="1"/>
      <w:numFmt w:val="decimal"/>
      <w:lvlText w:val="%7."/>
      <w:lvlJc w:val="left"/>
      <w:pPr>
        <w:ind w:left="6803" w:hanging="360"/>
      </w:pPr>
    </w:lvl>
    <w:lvl w:ilvl="7" w:tplc="04160019" w:tentative="1">
      <w:start w:val="1"/>
      <w:numFmt w:val="lowerLetter"/>
      <w:lvlText w:val="%8."/>
      <w:lvlJc w:val="left"/>
      <w:pPr>
        <w:ind w:left="7523" w:hanging="360"/>
      </w:pPr>
    </w:lvl>
    <w:lvl w:ilvl="8" w:tplc="0416001B" w:tentative="1">
      <w:start w:val="1"/>
      <w:numFmt w:val="lowerRoman"/>
      <w:lvlText w:val="%9."/>
      <w:lvlJc w:val="right"/>
      <w:pPr>
        <w:ind w:left="8243" w:hanging="180"/>
      </w:pPr>
    </w:lvl>
  </w:abstractNum>
  <w:abstractNum w:abstractNumId="2">
    <w:nsid w:val="14B05D47"/>
    <w:multiLevelType w:val="hybridMultilevel"/>
    <w:tmpl w:val="DC763388"/>
    <w:lvl w:ilvl="0" w:tplc="05CCE0E6">
      <w:start w:val="1"/>
      <w:numFmt w:val="lowerLetter"/>
      <w:lvlText w:val="%1."/>
      <w:lvlJc w:val="left"/>
      <w:pPr>
        <w:ind w:left="2138"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nsid w:val="18A9345A"/>
    <w:multiLevelType w:val="hybridMultilevel"/>
    <w:tmpl w:val="766452FE"/>
    <w:lvl w:ilvl="0" w:tplc="3EC6A2EA">
      <w:start w:val="1"/>
      <w:numFmt w:val="lowerLetter"/>
      <w:lvlText w:val="%1."/>
      <w:lvlJc w:val="left"/>
      <w:pPr>
        <w:ind w:left="2345" w:hanging="360"/>
      </w:pPr>
      <w:rPr>
        <w:rFonts w:hint="default"/>
      </w:rPr>
    </w:lvl>
    <w:lvl w:ilvl="1" w:tplc="04160019">
      <w:start w:val="1"/>
      <w:numFmt w:val="lowerLetter"/>
      <w:lvlText w:val="%2."/>
      <w:lvlJc w:val="left"/>
      <w:pPr>
        <w:ind w:left="3065" w:hanging="360"/>
      </w:pPr>
    </w:lvl>
    <w:lvl w:ilvl="2" w:tplc="0416001B" w:tentative="1">
      <w:start w:val="1"/>
      <w:numFmt w:val="lowerRoman"/>
      <w:lvlText w:val="%3."/>
      <w:lvlJc w:val="right"/>
      <w:pPr>
        <w:ind w:left="3785" w:hanging="180"/>
      </w:pPr>
    </w:lvl>
    <w:lvl w:ilvl="3" w:tplc="0416000F" w:tentative="1">
      <w:start w:val="1"/>
      <w:numFmt w:val="decimal"/>
      <w:lvlText w:val="%4."/>
      <w:lvlJc w:val="left"/>
      <w:pPr>
        <w:ind w:left="4505" w:hanging="360"/>
      </w:pPr>
    </w:lvl>
    <w:lvl w:ilvl="4" w:tplc="04160019" w:tentative="1">
      <w:start w:val="1"/>
      <w:numFmt w:val="lowerLetter"/>
      <w:lvlText w:val="%5."/>
      <w:lvlJc w:val="left"/>
      <w:pPr>
        <w:ind w:left="5225" w:hanging="360"/>
      </w:pPr>
    </w:lvl>
    <w:lvl w:ilvl="5" w:tplc="0416001B" w:tentative="1">
      <w:start w:val="1"/>
      <w:numFmt w:val="lowerRoman"/>
      <w:lvlText w:val="%6."/>
      <w:lvlJc w:val="right"/>
      <w:pPr>
        <w:ind w:left="5945" w:hanging="180"/>
      </w:pPr>
    </w:lvl>
    <w:lvl w:ilvl="6" w:tplc="0416000F" w:tentative="1">
      <w:start w:val="1"/>
      <w:numFmt w:val="decimal"/>
      <w:lvlText w:val="%7."/>
      <w:lvlJc w:val="left"/>
      <w:pPr>
        <w:ind w:left="6665" w:hanging="360"/>
      </w:pPr>
    </w:lvl>
    <w:lvl w:ilvl="7" w:tplc="04160019" w:tentative="1">
      <w:start w:val="1"/>
      <w:numFmt w:val="lowerLetter"/>
      <w:lvlText w:val="%8."/>
      <w:lvlJc w:val="left"/>
      <w:pPr>
        <w:ind w:left="7385" w:hanging="360"/>
      </w:pPr>
    </w:lvl>
    <w:lvl w:ilvl="8" w:tplc="0416001B" w:tentative="1">
      <w:start w:val="1"/>
      <w:numFmt w:val="lowerRoman"/>
      <w:lvlText w:val="%9."/>
      <w:lvlJc w:val="right"/>
      <w:pPr>
        <w:ind w:left="8105" w:hanging="180"/>
      </w:pPr>
    </w:lvl>
  </w:abstractNum>
  <w:abstractNum w:abstractNumId="4">
    <w:nsid w:val="2FAA417D"/>
    <w:multiLevelType w:val="hybridMultilevel"/>
    <w:tmpl w:val="EB20B7B8"/>
    <w:lvl w:ilvl="0" w:tplc="2DA6A96A">
      <w:start w:val="1"/>
      <w:numFmt w:val="lowerLetter"/>
      <w:lvlText w:val="%1."/>
      <w:lvlJc w:val="left"/>
      <w:pPr>
        <w:ind w:left="2483" w:hanging="360"/>
      </w:pPr>
      <w:rPr>
        <w:rFonts w:hint="default"/>
      </w:rPr>
    </w:lvl>
    <w:lvl w:ilvl="1" w:tplc="04160019" w:tentative="1">
      <w:start w:val="1"/>
      <w:numFmt w:val="lowerLetter"/>
      <w:lvlText w:val="%2."/>
      <w:lvlJc w:val="left"/>
      <w:pPr>
        <w:ind w:left="3203" w:hanging="360"/>
      </w:pPr>
    </w:lvl>
    <w:lvl w:ilvl="2" w:tplc="0416001B" w:tentative="1">
      <w:start w:val="1"/>
      <w:numFmt w:val="lowerRoman"/>
      <w:lvlText w:val="%3."/>
      <w:lvlJc w:val="right"/>
      <w:pPr>
        <w:ind w:left="3923" w:hanging="180"/>
      </w:pPr>
    </w:lvl>
    <w:lvl w:ilvl="3" w:tplc="0416000F" w:tentative="1">
      <w:start w:val="1"/>
      <w:numFmt w:val="decimal"/>
      <w:lvlText w:val="%4."/>
      <w:lvlJc w:val="left"/>
      <w:pPr>
        <w:ind w:left="4643" w:hanging="360"/>
      </w:pPr>
    </w:lvl>
    <w:lvl w:ilvl="4" w:tplc="04160019" w:tentative="1">
      <w:start w:val="1"/>
      <w:numFmt w:val="lowerLetter"/>
      <w:lvlText w:val="%5."/>
      <w:lvlJc w:val="left"/>
      <w:pPr>
        <w:ind w:left="5363" w:hanging="360"/>
      </w:pPr>
    </w:lvl>
    <w:lvl w:ilvl="5" w:tplc="0416001B" w:tentative="1">
      <w:start w:val="1"/>
      <w:numFmt w:val="lowerRoman"/>
      <w:lvlText w:val="%6."/>
      <w:lvlJc w:val="right"/>
      <w:pPr>
        <w:ind w:left="6083" w:hanging="180"/>
      </w:pPr>
    </w:lvl>
    <w:lvl w:ilvl="6" w:tplc="0416000F" w:tentative="1">
      <w:start w:val="1"/>
      <w:numFmt w:val="decimal"/>
      <w:lvlText w:val="%7."/>
      <w:lvlJc w:val="left"/>
      <w:pPr>
        <w:ind w:left="6803" w:hanging="360"/>
      </w:pPr>
    </w:lvl>
    <w:lvl w:ilvl="7" w:tplc="04160019" w:tentative="1">
      <w:start w:val="1"/>
      <w:numFmt w:val="lowerLetter"/>
      <w:lvlText w:val="%8."/>
      <w:lvlJc w:val="left"/>
      <w:pPr>
        <w:ind w:left="7523" w:hanging="360"/>
      </w:pPr>
    </w:lvl>
    <w:lvl w:ilvl="8" w:tplc="0416001B" w:tentative="1">
      <w:start w:val="1"/>
      <w:numFmt w:val="lowerRoman"/>
      <w:lvlText w:val="%9."/>
      <w:lvlJc w:val="right"/>
      <w:pPr>
        <w:ind w:left="8243" w:hanging="180"/>
      </w:pPr>
    </w:lvl>
  </w:abstractNum>
  <w:abstractNum w:abstractNumId="5">
    <w:nsid w:val="4D340DB6"/>
    <w:multiLevelType w:val="hybridMultilevel"/>
    <w:tmpl w:val="781414A4"/>
    <w:lvl w:ilvl="0" w:tplc="9B301BD0">
      <w:start w:val="1"/>
      <w:numFmt w:val="lowerLetter"/>
      <w:lvlText w:val="%1)"/>
      <w:lvlJc w:val="left"/>
      <w:pPr>
        <w:ind w:left="1808" w:hanging="39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6">
    <w:nsid w:val="697163B7"/>
    <w:multiLevelType w:val="hybridMultilevel"/>
    <w:tmpl w:val="DC763388"/>
    <w:lvl w:ilvl="0" w:tplc="05CCE0E6">
      <w:start w:val="1"/>
      <w:numFmt w:val="lowerLetter"/>
      <w:lvlText w:val="%1."/>
      <w:lvlJc w:val="left"/>
      <w:pPr>
        <w:ind w:left="2138"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3"/>
  </w:num>
  <w:num w:numId="2">
    <w:abstractNumId w:val="5"/>
  </w:num>
  <w:num w:numId="3">
    <w:abstractNumId w:val="0"/>
  </w:num>
  <w:num w:numId="4">
    <w:abstractNumId w:val="6"/>
  </w:num>
  <w:num w:numId="5">
    <w:abstractNumId w:val="2"/>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cumentProtection w:edit="readOnly" w:formatting="1" w:enforcement="1" w:cryptProviderType="rsaFull" w:cryptAlgorithmClass="hash" w:cryptAlgorithmType="typeAny" w:cryptAlgorithmSid="4" w:cryptSpinCount="50000" w:hash="S6zGhOj4g7VWaja01JjsWpaMUx4=" w:salt="d9yVSgisn1/UTyJlIzOX+g=="/>
  <w:defaultTabStop w:val="708"/>
  <w:hyphenationZone w:val="425"/>
  <w:characterSpacingControl w:val="doNotCompress"/>
  <w:footnotePr>
    <w:footnote w:id="0"/>
    <w:footnote w:id="1"/>
  </w:footnotePr>
  <w:endnotePr>
    <w:endnote w:id="0"/>
    <w:endnote w:id="1"/>
  </w:endnotePr>
  <w:compat/>
  <w:rsids>
    <w:rsidRoot w:val="002737DA"/>
    <w:rsid w:val="00003844"/>
    <w:rsid w:val="00015D3F"/>
    <w:rsid w:val="000213E2"/>
    <w:rsid w:val="000569B7"/>
    <w:rsid w:val="00093687"/>
    <w:rsid w:val="000A018B"/>
    <w:rsid w:val="0012399A"/>
    <w:rsid w:val="00191087"/>
    <w:rsid w:val="001D2CFD"/>
    <w:rsid w:val="001F2A1C"/>
    <w:rsid w:val="0020091C"/>
    <w:rsid w:val="0022683C"/>
    <w:rsid w:val="002737DA"/>
    <w:rsid w:val="0029500E"/>
    <w:rsid w:val="002D2531"/>
    <w:rsid w:val="00310D22"/>
    <w:rsid w:val="003175C7"/>
    <w:rsid w:val="00320531"/>
    <w:rsid w:val="00337E89"/>
    <w:rsid w:val="003556FC"/>
    <w:rsid w:val="00365408"/>
    <w:rsid w:val="0038200C"/>
    <w:rsid w:val="00394B32"/>
    <w:rsid w:val="004145D2"/>
    <w:rsid w:val="00417E65"/>
    <w:rsid w:val="00445FA4"/>
    <w:rsid w:val="00457C19"/>
    <w:rsid w:val="004624BC"/>
    <w:rsid w:val="004773FF"/>
    <w:rsid w:val="004B16D4"/>
    <w:rsid w:val="004D2583"/>
    <w:rsid w:val="00511998"/>
    <w:rsid w:val="0053701A"/>
    <w:rsid w:val="0054119A"/>
    <w:rsid w:val="0056296E"/>
    <w:rsid w:val="005A243B"/>
    <w:rsid w:val="005E0502"/>
    <w:rsid w:val="005F7619"/>
    <w:rsid w:val="00605686"/>
    <w:rsid w:val="006214AA"/>
    <w:rsid w:val="00687338"/>
    <w:rsid w:val="00690CB9"/>
    <w:rsid w:val="0069359C"/>
    <w:rsid w:val="006935E2"/>
    <w:rsid w:val="006D1083"/>
    <w:rsid w:val="006F20DC"/>
    <w:rsid w:val="00723131"/>
    <w:rsid w:val="00730CBA"/>
    <w:rsid w:val="0075620E"/>
    <w:rsid w:val="007A4649"/>
    <w:rsid w:val="007A5D7B"/>
    <w:rsid w:val="007C399A"/>
    <w:rsid w:val="007F4B91"/>
    <w:rsid w:val="0080325A"/>
    <w:rsid w:val="00830EF5"/>
    <w:rsid w:val="00841A09"/>
    <w:rsid w:val="008505F4"/>
    <w:rsid w:val="008B3024"/>
    <w:rsid w:val="008D6DEF"/>
    <w:rsid w:val="008E1A74"/>
    <w:rsid w:val="00924180"/>
    <w:rsid w:val="00936E0F"/>
    <w:rsid w:val="00943045"/>
    <w:rsid w:val="00954090"/>
    <w:rsid w:val="00955C5A"/>
    <w:rsid w:val="00994BDB"/>
    <w:rsid w:val="009B339F"/>
    <w:rsid w:val="009B726B"/>
    <w:rsid w:val="009D0B62"/>
    <w:rsid w:val="009F4843"/>
    <w:rsid w:val="00A04EFD"/>
    <w:rsid w:val="00A32783"/>
    <w:rsid w:val="00A55EB7"/>
    <w:rsid w:val="00AC13B7"/>
    <w:rsid w:val="00AE260E"/>
    <w:rsid w:val="00AE37A9"/>
    <w:rsid w:val="00B07CB0"/>
    <w:rsid w:val="00B253F7"/>
    <w:rsid w:val="00B30D7E"/>
    <w:rsid w:val="00B63A03"/>
    <w:rsid w:val="00BB3E40"/>
    <w:rsid w:val="00BD5548"/>
    <w:rsid w:val="00BD67F6"/>
    <w:rsid w:val="00BE1360"/>
    <w:rsid w:val="00BE347E"/>
    <w:rsid w:val="00C25601"/>
    <w:rsid w:val="00C26822"/>
    <w:rsid w:val="00C36C07"/>
    <w:rsid w:val="00C52ACB"/>
    <w:rsid w:val="00C6281C"/>
    <w:rsid w:val="00CB6575"/>
    <w:rsid w:val="00CE5CD8"/>
    <w:rsid w:val="00CE6924"/>
    <w:rsid w:val="00CF55BE"/>
    <w:rsid w:val="00D36D1D"/>
    <w:rsid w:val="00D75945"/>
    <w:rsid w:val="00DC35F6"/>
    <w:rsid w:val="00DF0314"/>
    <w:rsid w:val="00E0683A"/>
    <w:rsid w:val="00E07336"/>
    <w:rsid w:val="00E5658B"/>
    <w:rsid w:val="00E90CC4"/>
    <w:rsid w:val="00EF0315"/>
    <w:rsid w:val="00EF73F4"/>
    <w:rsid w:val="00F01B5C"/>
    <w:rsid w:val="00F174A7"/>
    <w:rsid w:val="00F25F8D"/>
    <w:rsid w:val="00F26CC1"/>
    <w:rsid w:val="00F41B11"/>
    <w:rsid w:val="00F866BD"/>
    <w:rsid w:val="00FA31E0"/>
    <w:rsid w:val="00FB7F54"/>
    <w:rsid w:val="00FC6FFD"/>
    <w:rsid w:val="00FE625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7DA"/>
    <w:pPr>
      <w:spacing w:after="0" w:line="240" w:lineRule="auto"/>
    </w:pPr>
    <w:rPr>
      <w:rFonts w:ascii="Times New Roman" w:eastAsia="Times New Roman" w:hAnsi="Times New Roman" w:cs="Times New Roman"/>
      <w:sz w:val="2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western">
    <w:name w:val="western"/>
    <w:basedOn w:val="Normal"/>
    <w:rsid w:val="002737DA"/>
    <w:pPr>
      <w:spacing w:before="100" w:beforeAutospacing="1"/>
      <w:jc w:val="both"/>
    </w:pPr>
    <w:rPr>
      <w:szCs w:val="28"/>
    </w:rPr>
  </w:style>
  <w:style w:type="paragraph" w:styleId="Recuodecorpodetexto2">
    <w:name w:val="Body Text Indent 2"/>
    <w:basedOn w:val="Normal"/>
    <w:link w:val="Recuodecorpodetexto2Char"/>
    <w:unhideWhenUsed/>
    <w:rsid w:val="002737DA"/>
    <w:pPr>
      <w:ind w:left="3540"/>
      <w:jc w:val="both"/>
    </w:pPr>
    <w:rPr>
      <w:b/>
    </w:rPr>
  </w:style>
  <w:style w:type="character" w:customStyle="1" w:styleId="Recuodecorpodetexto2Char">
    <w:name w:val="Recuo de corpo de texto 2 Char"/>
    <w:basedOn w:val="Fontepargpadro"/>
    <w:link w:val="Recuodecorpodetexto2"/>
    <w:rsid w:val="002737DA"/>
    <w:rPr>
      <w:rFonts w:ascii="Times New Roman" w:eastAsia="Times New Roman" w:hAnsi="Times New Roman" w:cs="Times New Roman"/>
      <w:b/>
      <w:sz w:val="28"/>
      <w:szCs w:val="20"/>
      <w:lang w:eastAsia="pt-BR"/>
    </w:rPr>
  </w:style>
  <w:style w:type="paragraph" w:styleId="PargrafodaLista">
    <w:name w:val="List Paragraph"/>
    <w:basedOn w:val="Normal"/>
    <w:uiPriority w:val="34"/>
    <w:qFormat/>
    <w:rsid w:val="002737DA"/>
    <w:pPr>
      <w:ind w:left="720"/>
      <w:contextualSpacing/>
    </w:pPr>
    <w:rPr>
      <w:sz w:val="20"/>
    </w:rPr>
  </w:style>
  <w:style w:type="paragraph" w:styleId="Corpodetexto2">
    <w:name w:val="Body Text 2"/>
    <w:basedOn w:val="Normal"/>
    <w:link w:val="Corpodetexto2Char"/>
    <w:uiPriority w:val="99"/>
    <w:semiHidden/>
    <w:unhideWhenUsed/>
    <w:rsid w:val="002737DA"/>
    <w:pPr>
      <w:spacing w:after="120" w:line="480" w:lineRule="auto"/>
    </w:pPr>
  </w:style>
  <w:style w:type="character" w:customStyle="1" w:styleId="Corpodetexto2Char">
    <w:name w:val="Corpo de texto 2 Char"/>
    <w:basedOn w:val="Fontepargpadro"/>
    <w:link w:val="Corpodetexto2"/>
    <w:uiPriority w:val="99"/>
    <w:semiHidden/>
    <w:rsid w:val="002737DA"/>
    <w:rPr>
      <w:rFonts w:ascii="Times New Roman" w:eastAsia="Times New Roman" w:hAnsi="Times New Roman" w:cs="Times New Roman"/>
      <w:sz w:val="28"/>
      <w:szCs w:val="20"/>
      <w:lang w:eastAsia="pt-BR"/>
    </w:rPr>
  </w:style>
  <w:style w:type="paragraph" w:styleId="Recuodecorpodetexto3">
    <w:name w:val="Body Text Indent 3"/>
    <w:basedOn w:val="Normal"/>
    <w:link w:val="Recuodecorpodetexto3Char"/>
    <w:unhideWhenUsed/>
    <w:rsid w:val="002737DA"/>
    <w:pPr>
      <w:spacing w:after="120"/>
      <w:ind w:left="283"/>
    </w:pPr>
    <w:rPr>
      <w:sz w:val="16"/>
      <w:szCs w:val="16"/>
    </w:rPr>
  </w:style>
  <w:style w:type="character" w:customStyle="1" w:styleId="Recuodecorpodetexto3Char">
    <w:name w:val="Recuo de corpo de texto 3 Char"/>
    <w:basedOn w:val="Fontepargpadro"/>
    <w:link w:val="Recuodecorpodetexto3"/>
    <w:rsid w:val="002737DA"/>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BE1360"/>
    <w:pPr>
      <w:tabs>
        <w:tab w:val="center" w:pos="4252"/>
        <w:tab w:val="right" w:pos="8504"/>
      </w:tabs>
    </w:pPr>
  </w:style>
  <w:style w:type="character" w:customStyle="1" w:styleId="CabealhoChar">
    <w:name w:val="Cabeçalho Char"/>
    <w:basedOn w:val="Fontepargpadro"/>
    <w:link w:val="Cabealho"/>
    <w:uiPriority w:val="99"/>
    <w:rsid w:val="00BE1360"/>
    <w:rPr>
      <w:rFonts w:ascii="Times New Roman" w:eastAsia="Times New Roman" w:hAnsi="Times New Roman" w:cs="Times New Roman"/>
      <w:sz w:val="28"/>
      <w:szCs w:val="20"/>
      <w:lang w:eastAsia="pt-BR"/>
    </w:rPr>
  </w:style>
  <w:style w:type="paragraph" w:styleId="Rodap">
    <w:name w:val="footer"/>
    <w:basedOn w:val="Normal"/>
    <w:link w:val="RodapChar"/>
    <w:uiPriority w:val="99"/>
    <w:unhideWhenUsed/>
    <w:rsid w:val="00BE1360"/>
    <w:pPr>
      <w:tabs>
        <w:tab w:val="center" w:pos="4252"/>
        <w:tab w:val="right" w:pos="8504"/>
      </w:tabs>
    </w:pPr>
  </w:style>
  <w:style w:type="character" w:customStyle="1" w:styleId="RodapChar">
    <w:name w:val="Rodapé Char"/>
    <w:basedOn w:val="Fontepargpadro"/>
    <w:link w:val="Rodap"/>
    <w:uiPriority w:val="99"/>
    <w:rsid w:val="00BE1360"/>
    <w:rPr>
      <w:rFonts w:ascii="Times New Roman" w:eastAsia="Times New Roman" w:hAnsi="Times New Roman" w:cs="Times New Roman"/>
      <w:sz w:val="28"/>
      <w:szCs w:val="20"/>
      <w:lang w:eastAsia="pt-BR"/>
    </w:rPr>
  </w:style>
  <w:style w:type="paragraph" w:customStyle="1" w:styleId="Default">
    <w:name w:val="Default"/>
    <w:rsid w:val="00310D22"/>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Textodebalo">
    <w:name w:val="Balloon Text"/>
    <w:basedOn w:val="Normal"/>
    <w:link w:val="TextodebaloChar"/>
    <w:uiPriority w:val="99"/>
    <w:semiHidden/>
    <w:unhideWhenUsed/>
    <w:rsid w:val="0056296E"/>
    <w:rPr>
      <w:rFonts w:ascii="Segoe UI" w:hAnsi="Segoe UI" w:cs="Segoe UI"/>
      <w:sz w:val="18"/>
      <w:szCs w:val="18"/>
    </w:rPr>
  </w:style>
  <w:style w:type="character" w:customStyle="1" w:styleId="TextodebaloChar">
    <w:name w:val="Texto de balão Char"/>
    <w:basedOn w:val="Fontepargpadro"/>
    <w:link w:val="Textodebalo"/>
    <w:uiPriority w:val="99"/>
    <w:semiHidden/>
    <w:rsid w:val="0056296E"/>
    <w:rPr>
      <w:rFonts w:ascii="Segoe UI" w:eastAsia="Times New Roman" w:hAnsi="Segoe UI" w:cs="Segoe UI"/>
      <w:sz w:val="18"/>
      <w:szCs w:val="18"/>
      <w:lang w:eastAsia="pt-BR"/>
    </w:rPr>
  </w:style>
  <w:style w:type="table" w:styleId="Tabelacomgrade">
    <w:name w:val="Table Grid"/>
    <w:basedOn w:val="Tabelanormal"/>
    <w:uiPriority w:val="39"/>
    <w:rsid w:val="00EF03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
    <w:name w:val="Body Text"/>
    <w:basedOn w:val="Normal"/>
    <w:link w:val="CorpodetextoChar"/>
    <w:uiPriority w:val="99"/>
    <w:semiHidden/>
    <w:unhideWhenUsed/>
    <w:rsid w:val="00CF55BE"/>
    <w:pPr>
      <w:spacing w:after="120"/>
    </w:pPr>
    <w:rPr>
      <w:sz w:val="24"/>
      <w:szCs w:val="24"/>
    </w:rPr>
  </w:style>
  <w:style w:type="character" w:customStyle="1" w:styleId="CorpodetextoChar">
    <w:name w:val="Corpo de texto Char"/>
    <w:basedOn w:val="Fontepargpadro"/>
    <w:link w:val="Corpodetexto"/>
    <w:uiPriority w:val="99"/>
    <w:semiHidden/>
    <w:rsid w:val="00CF55BE"/>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118374805">
      <w:bodyDiv w:val="1"/>
      <w:marLeft w:val="0"/>
      <w:marRight w:val="0"/>
      <w:marTop w:val="0"/>
      <w:marBottom w:val="0"/>
      <w:divBdr>
        <w:top w:val="none" w:sz="0" w:space="0" w:color="auto"/>
        <w:left w:val="none" w:sz="0" w:space="0" w:color="auto"/>
        <w:bottom w:val="none" w:sz="0" w:space="0" w:color="auto"/>
        <w:right w:val="none" w:sz="0" w:space="0" w:color="auto"/>
      </w:divBdr>
    </w:div>
    <w:div w:id="150028358">
      <w:bodyDiv w:val="1"/>
      <w:marLeft w:val="0"/>
      <w:marRight w:val="0"/>
      <w:marTop w:val="0"/>
      <w:marBottom w:val="0"/>
      <w:divBdr>
        <w:top w:val="none" w:sz="0" w:space="0" w:color="auto"/>
        <w:left w:val="none" w:sz="0" w:space="0" w:color="auto"/>
        <w:bottom w:val="none" w:sz="0" w:space="0" w:color="auto"/>
        <w:right w:val="none" w:sz="0" w:space="0" w:color="auto"/>
      </w:divBdr>
    </w:div>
    <w:div w:id="217671287">
      <w:bodyDiv w:val="1"/>
      <w:marLeft w:val="0"/>
      <w:marRight w:val="0"/>
      <w:marTop w:val="0"/>
      <w:marBottom w:val="0"/>
      <w:divBdr>
        <w:top w:val="none" w:sz="0" w:space="0" w:color="auto"/>
        <w:left w:val="none" w:sz="0" w:space="0" w:color="auto"/>
        <w:bottom w:val="none" w:sz="0" w:space="0" w:color="auto"/>
        <w:right w:val="none" w:sz="0" w:space="0" w:color="auto"/>
      </w:divBdr>
    </w:div>
    <w:div w:id="413816828">
      <w:bodyDiv w:val="1"/>
      <w:marLeft w:val="0"/>
      <w:marRight w:val="0"/>
      <w:marTop w:val="0"/>
      <w:marBottom w:val="0"/>
      <w:divBdr>
        <w:top w:val="none" w:sz="0" w:space="0" w:color="auto"/>
        <w:left w:val="none" w:sz="0" w:space="0" w:color="auto"/>
        <w:bottom w:val="none" w:sz="0" w:space="0" w:color="auto"/>
        <w:right w:val="none" w:sz="0" w:space="0" w:color="auto"/>
      </w:divBdr>
    </w:div>
    <w:div w:id="540290557">
      <w:bodyDiv w:val="1"/>
      <w:marLeft w:val="0"/>
      <w:marRight w:val="0"/>
      <w:marTop w:val="0"/>
      <w:marBottom w:val="0"/>
      <w:divBdr>
        <w:top w:val="none" w:sz="0" w:space="0" w:color="auto"/>
        <w:left w:val="none" w:sz="0" w:space="0" w:color="auto"/>
        <w:bottom w:val="none" w:sz="0" w:space="0" w:color="auto"/>
        <w:right w:val="none" w:sz="0" w:space="0" w:color="auto"/>
      </w:divBdr>
    </w:div>
    <w:div w:id="1081487731">
      <w:bodyDiv w:val="1"/>
      <w:marLeft w:val="0"/>
      <w:marRight w:val="0"/>
      <w:marTop w:val="0"/>
      <w:marBottom w:val="0"/>
      <w:divBdr>
        <w:top w:val="none" w:sz="0" w:space="0" w:color="auto"/>
        <w:left w:val="none" w:sz="0" w:space="0" w:color="auto"/>
        <w:bottom w:val="none" w:sz="0" w:space="0" w:color="auto"/>
        <w:right w:val="none" w:sz="0" w:space="0" w:color="auto"/>
      </w:divBdr>
    </w:div>
    <w:div w:id="17149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7</Pages>
  <Words>1918</Words>
  <Characters>10363</Characters>
  <Application>Microsoft Office Word</Application>
  <DocSecurity>8</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Assistencia Social</dc:creator>
  <cp:keywords/>
  <dc:description/>
  <cp:lastModifiedBy>Airton</cp:lastModifiedBy>
  <cp:revision>4</cp:revision>
  <cp:lastPrinted>2020-11-11T15:10:00Z</cp:lastPrinted>
  <dcterms:created xsi:type="dcterms:W3CDTF">2020-11-11T14:37:00Z</dcterms:created>
  <dcterms:modified xsi:type="dcterms:W3CDTF">2021-07-09T18:04:00Z</dcterms:modified>
</cp:coreProperties>
</file>