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349F" w:rsidRPr="003E6D7D" w:rsidRDefault="0056349F" w:rsidP="00B03A0E">
      <w:pPr>
        <w:pStyle w:val="Corpodetexto"/>
        <w:spacing w:after="120" w:line="360" w:lineRule="auto"/>
        <w:rPr>
          <w:b/>
          <w:sz w:val="24"/>
          <w:szCs w:val="24"/>
        </w:rPr>
      </w:pPr>
      <w:permStart w:id="0" w:edGrp="everyone"/>
      <w:permEnd w:id="0"/>
      <w:r w:rsidRPr="003E6D7D">
        <w:rPr>
          <w:b/>
          <w:sz w:val="24"/>
          <w:szCs w:val="24"/>
        </w:rPr>
        <w:t>LEI MUNICIPAL nº 1.72</w:t>
      </w:r>
      <w:r w:rsidR="008B7F94" w:rsidRPr="003E6D7D">
        <w:rPr>
          <w:b/>
          <w:sz w:val="24"/>
          <w:szCs w:val="24"/>
        </w:rPr>
        <w:t>9</w:t>
      </w:r>
      <w:r w:rsidR="00460320" w:rsidRPr="003E6D7D">
        <w:rPr>
          <w:b/>
          <w:sz w:val="24"/>
          <w:szCs w:val="24"/>
        </w:rPr>
        <w:t>/2020</w:t>
      </w:r>
      <w:bookmarkStart w:id="0" w:name="_GoBack"/>
      <w:bookmarkEnd w:id="0"/>
    </w:p>
    <w:p w:rsidR="00B03A0E" w:rsidRPr="003E6D7D" w:rsidRDefault="008B7F94" w:rsidP="003E6D7D">
      <w:pPr>
        <w:pStyle w:val="Ttulo1"/>
        <w:tabs>
          <w:tab w:val="left" w:pos="197"/>
        </w:tabs>
        <w:spacing w:after="120" w:line="360" w:lineRule="auto"/>
        <w:ind w:left="3544" w:firstLine="1134"/>
        <w:jc w:val="both"/>
        <w:rPr>
          <w:rFonts w:ascii="Times New Roman" w:hAnsi="Times New Roman" w:cs="Times New Roman"/>
          <w:b w:val="0"/>
        </w:rPr>
      </w:pPr>
      <w:r w:rsidRPr="003E6D7D">
        <w:rPr>
          <w:rFonts w:ascii="Times New Roman" w:hAnsi="Times New Roman" w:cs="Times New Roman"/>
        </w:rPr>
        <w:t>“Estima a receita e fixa a despesa do Município de Dona Francisca para o exercício financeiro de 2020 e dá outras providências.”</w:t>
      </w:r>
    </w:p>
    <w:p w:rsidR="008B7F94" w:rsidRDefault="008B7F94" w:rsidP="00B03A0E">
      <w:pPr>
        <w:pStyle w:val="Recuodecorpodetexto"/>
        <w:spacing w:line="360" w:lineRule="auto"/>
        <w:ind w:left="3969"/>
        <w:jc w:val="both"/>
        <w:rPr>
          <w:b/>
        </w:rPr>
      </w:pPr>
    </w:p>
    <w:p w:rsidR="003E6D7D" w:rsidRPr="003E6D7D" w:rsidRDefault="003E6D7D" w:rsidP="00B03A0E">
      <w:pPr>
        <w:pStyle w:val="Recuodecorpodetexto"/>
        <w:spacing w:line="360" w:lineRule="auto"/>
        <w:ind w:left="3969"/>
        <w:jc w:val="both"/>
        <w:rPr>
          <w:b/>
        </w:rPr>
      </w:pPr>
    </w:p>
    <w:p w:rsidR="0056349F" w:rsidRPr="003E6D7D" w:rsidRDefault="0056349F" w:rsidP="00B03A0E">
      <w:pPr>
        <w:spacing w:after="120" w:line="360" w:lineRule="auto"/>
        <w:ind w:firstLine="2268"/>
        <w:jc w:val="both"/>
      </w:pPr>
      <w:r w:rsidRPr="003E6D7D">
        <w:rPr>
          <w:b/>
        </w:rPr>
        <w:t>EDALEO DALLA NORA</w:t>
      </w:r>
      <w:r w:rsidRPr="003E6D7D">
        <w:t xml:space="preserve">, Prefeito Municipal de Dona Francisca, no uso das atribuições que me confere a Lei Orgânica Municipal, </w:t>
      </w:r>
      <w:r w:rsidRPr="003E6D7D">
        <w:rPr>
          <w:b/>
        </w:rPr>
        <w:t>FAÇO SABER</w:t>
      </w:r>
      <w:r w:rsidRPr="003E6D7D">
        <w:t xml:space="preserve"> que a Câmara Municipal de Vereadores aprovou e eu sanciono e promulgo a seguinte LEI:</w:t>
      </w:r>
    </w:p>
    <w:p w:rsidR="003E6D7D" w:rsidRDefault="003E6D7D" w:rsidP="003E6D7D">
      <w:pPr>
        <w:spacing w:line="360" w:lineRule="auto"/>
        <w:jc w:val="center"/>
        <w:rPr>
          <w:b/>
        </w:rPr>
      </w:pPr>
      <w:bookmarkStart w:id="1" w:name="_Hlk26787532"/>
      <w:r>
        <w:rPr>
          <w:b/>
        </w:rPr>
        <w:t>CAPÍTULO I</w:t>
      </w:r>
    </w:p>
    <w:p w:rsidR="003E6D7D" w:rsidRDefault="003E6D7D" w:rsidP="003E6D7D">
      <w:pPr>
        <w:spacing w:line="360" w:lineRule="auto"/>
        <w:jc w:val="center"/>
      </w:pPr>
      <w:r>
        <w:rPr>
          <w:b/>
        </w:rPr>
        <w:t>DAS DISPOSIÇÕES PRELIMINARES</w:t>
      </w:r>
    </w:p>
    <w:p w:rsidR="003E6D7D" w:rsidRDefault="003E6D7D" w:rsidP="003E6D7D">
      <w:pPr>
        <w:spacing w:line="360" w:lineRule="auto"/>
        <w:jc w:val="both"/>
        <w:rPr>
          <w:b/>
        </w:rPr>
      </w:pPr>
    </w:p>
    <w:p w:rsidR="003E6D7D" w:rsidRDefault="003E6D7D" w:rsidP="003E6D7D">
      <w:pPr>
        <w:spacing w:line="360" w:lineRule="auto"/>
        <w:jc w:val="both"/>
      </w:pP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Art. 1º - </w:t>
      </w:r>
      <w:r>
        <w:t>Esta Lei estima a Receita e fixa a Despesa do Município para o exercício financeiro de 2020, compreendendo:</w:t>
      </w:r>
    </w:p>
    <w:p w:rsidR="003E6D7D" w:rsidRDefault="003E6D7D" w:rsidP="003E6D7D">
      <w:pPr>
        <w:spacing w:line="360" w:lineRule="auto"/>
        <w:jc w:val="both"/>
      </w:pPr>
      <w:r>
        <w:t>I – o Orçamento Fiscal referente aos Poderes do Município, seus fundos, órgãos e entidades da Administração Direta; e</w:t>
      </w:r>
    </w:p>
    <w:p w:rsidR="003E6D7D" w:rsidRDefault="003E6D7D" w:rsidP="003E6D7D">
      <w:pPr>
        <w:spacing w:line="360" w:lineRule="auto"/>
        <w:jc w:val="both"/>
      </w:pPr>
      <w:r>
        <w:t>II – o Orçamento da Seguridade Social, abrangendo todas as entidades e órgãos da Administração Direta.</w:t>
      </w:r>
    </w:p>
    <w:p w:rsidR="003E6D7D" w:rsidRDefault="003E6D7D" w:rsidP="003E6D7D">
      <w:pPr>
        <w:spacing w:line="360" w:lineRule="auto"/>
        <w:jc w:val="both"/>
      </w:pPr>
    </w:p>
    <w:p w:rsidR="003E6D7D" w:rsidRDefault="003E6D7D" w:rsidP="003E6D7D">
      <w:pPr>
        <w:spacing w:line="360" w:lineRule="auto"/>
        <w:jc w:val="center"/>
        <w:rPr>
          <w:b/>
        </w:rPr>
      </w:pPr>
      <w:r>
        <w:rPr>
          <w:b/>
        </w:rPr>
        <w:t>CAPÍTULO II</w:t>
      </w:r>
    </w:p>
    <w:p w:rsidR="003E6D7D" w:rsidRDefault="003E6D7D" w:rsidP="003E6D7D">
      <w:pPr>
        <w:spacing w:line="360" w:lineRule="auto"/>
        <w:jc w:val="center"/>
        <w:rPr>
          <w:b/>
        </w:rPr>
      </w:pPr>
      <w:r>
        <w:rPr>
          <w:b/>
        </w:rPr>
        <w:t>DO ORÇAMENTO FISCAL E DA SEGURIDADE SOCIAL</w:t>
      </w:r>
    </w:p>
    <w:p w:rsidR="003E6D7D" w:rsidRDefault="003E6D7D" w:rsidP="003E6D7D">
      <w:pPr>
        <w:spacing w:line="360" w:lineRule="auto"/>
        <w:jc w:val="center"/>
        <w:rPr>
          <w:b/>
        </w:rPr>
      </w:pPr>
      <w:r>
        <w:rPr>
          <w:b/>
        </w:rPr>
        <w:t>Seção I</w:t>
      </w:r>
    </w:p>
    <w:p w:rsidR="003E6D7D" w:rsidRDefault="003E6D7D" w:rsidP="003E6D7D">
      <w:pPr>
        <w:spacing w:line="360" w:lineRule="auto"/>
        <w:jc w:val="center"/>
        <w:rPr>
          <w:b/>
        </w:rPr>
      </w:pPr>
      <w:r>
        <w:rPr>
          <w:b/>
        </w:rPr>
        <w:t>Da Estimativa da Receita</w:t>
      </w:r>
    </w:p>
    <w:p w:rsidR="003E6D7D" w:rsidRDefault="003E6D7D" w:rsidP="003E6D7D">
      <w:pPr>
        <w:spacing w:line="360" w:lineRule="auto"/>
        <w:jc w:val="center"/>
      </w:pPr>
    </w:p>
    <w:p w:rsidR="003E6D7D" w:rsidRDefault="003E6D7D" w:rsidP="003E6D7D">
      <w:pPr>
        <w:spacing w:line="360" w:lineRule="auto"/>
        <w:jc w:val="both"/>
      </w:pP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Art. 2º - </w:t>
      </w:r>
      <w:r>
        <w:t>A Receita total estimada nos Orçamentos Fiscal e da Seguridade Social é de R$ 19.912.422,00 (dezenove milhões, novecentos e doze mil, quatrocentos e vinte e dois reais), e será arrecadada de conformidade com a legislação vigente, obedecendo a seguinte classificação geral:</w:t>
      </w:r>
    </w:p>
    <w:p w:rsidR="003E6D7D" w:rsidRDefault="003E6D7D" w:rsidP="003E6D7D">
      <w:pPr>
        <w:jc w:val="both"/>
      </w:pPr>
    </w:p>
    <w:tbl>
      <w:tblPr>
        <w:tblW w:w="898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5887"/>
        <w:gridCol w:w="3098"/>
      </w:tblGrid>
      <w:tr w:rsidR="003E6D7D" w:rsidTr="003E6D7D">
        <w:tc>
          <w:tcPr>
            <w:tcW w:w="5882" w:type="dxa"/>
            <w:hideMark/>
          </w:tcPr>
          <w:p w:rsidR="003E6D7D" w:rsidRDefault="003E6D7D">
            <w:pPr>
              <w:pStyle w:val="Ttulo2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lastRenderedPageBreak/>
              <w:t xml:space="preserve">RECEITAS CORRENTES . . . . . . . . . . . . . . . . . </w:t>
            </w:r>
          </w:p>
        </w:tc>
        <w:tc>
          <w:tcPr>
            <w:tcW w:w="3096" w:type="dxa"/>
            <w:hideMark/>
          </w:tcPr>
          <w:p w:rsidR="003E6D7D" w:rsidRDefault="003E6D7D">
            <w:pPr>
              <w:pStyle w:val="Ttulo2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R$              16.043.922,00</w:t>
            </w:r>
          </w:p>
        </w:tc>
      </w:tr>
      <w:tr w:rsidR="003E6D7D" w:rsidTr="003E6D7D">
        <w:tc>
          <w:tcPr>
            <w:tcW w:w="5882" w:type="dxa"/>
            <w:hideMark/>
          </w:tcPr>
          <w:p w:rsidR="003E6D7D" w:rsidRDefault="003E6D7D">
            <w:pPr>
              <w:jc w:val="both"/>
            </w:pPr>
            <w:r>
              <w:t xml:space="preserve">Impostos, Taxas e Contribuição de Melhoria . . . . . </w:t>
            </w:r>
          </w:p>
        </w:tc>
        <w:tc>
          <w:tcPr>
            <w:tcW w:w="3096" w:type="dxa"/>
            <w:hideMark/>
          </w:tcPr>
          <w:p w:rsidR="003E6D7D" w:rsidRDefault="003E6D7D">
            <w:pPr>
              <w:pStyle w:val="Ttulo3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R$                   847.050,00</w:t>
            </w:r>
          </w:p>
        </w:tc>
      </w:tr>
      <w:tr w:rsidR="003E6D7D" w:rsidTr="003E6D7D">
        <w:tc>
          <w:tcPr>
            <w:tcW w:w="5882" w:type="dxa"/>
            <w:hideMark/>
          </w:tcPr>
          <w:p w:rsidR="003E6D7D" w:rsidRDefault="003E6D7D">
            <w:pPr>
              <w:jc w:val="both"/>
            </w:pPr>
            <w:r>
              <w:t xml:space="preserve">Receita de Contribuições . . . . . . . . . . . . . . . . . . . . </w:t>
            </w:r>
          </w:p>
        </w:tc>
        <w:tc>
          <w:tcPr>
            <w:tcW w:w="3096" w:type="dxa"/>
            <w:hideMark/>
          </w:tcPr>
          <w:p w:rsidR="003E6D7D" w:rsidRDefault="003E6D7D">
            <w:pPr>
              <w:jc w:val="both"/>
            </w:pPr>
            <w:r>
              <w:t>R$                   480.000,00</w:t>
            </w:r>
          </w:p>
        </w:tc>
      </w:tr>
      <w:tr w:rsidR="003E6D7D" w:rsidTr="003E6D7D">
        <w:tc>
          <w:tcPr>
            <w:tcW w:w="5882" w:type="dxa"/>
            <w:hideMark/>
          </w:tcPr>
          <w:p w:rsidR="003E6D7D" w:rsidRDefault="003E6D7D">
            <w:pPr>
              <w:jc w:val="both"/>
            </w:pPr>
            <w:r>
              <w:t>Receita Patrimonial . . . . . . . . . . . . . . . . . . . . . . . . .</w:t>
            </w:r>
          </w:p>
        </w:tc>
        <w:tc>
          <w:tcPr>
            <w:tcW w:w="3096" w:type="dxa"/>
            <w:hideMark/>
          </w:tcPr>
          <w:p w:rsidR="003E6D7D" w:rsidRDefault="003E6D7D">
            <w:pPr>
              <w:jc w:val="both"/>
            </w:pPr>
            <w:r>
              <w:t>R$                1.467.000,00</w:t>
            </w:r>
          </w:p>
        </w:tc>
      </w:tr>
      <w:tr w:rsidR="003E6D7D" w:rsidTr="003E6D7D">
        <w:tc>
          <w:tcPr>
            <w:tcW w:w="5882" w:type="dxa"/>
            <w:hideMark/>
          </w:tcPr>
          <w:p w:rsidR="003E6D7D" w:rsidRDefault="003E6D7D">
            <w:pPr>
              <w:jc w:val="both"/>
            </w:pPr>
            <w:r>
              <w:t xml:space="preserve">Receita Agropecuária . . . . . . . . . . . . . . . . . . . . . . . </w:t>
            </w:r>
          </w:p>
        </w:tc>
        <w:tc>
          <w:tcPr>
            <w:tcW w:w="3096" w:type="dxa"/>
            <w:hideMark/>
          </w:tcPr>
          <w:p w:rsidR="003E6D7D" w:rsidRDefault="003E6D7D">
            <w:pPr>
              <w:jc w:val="both"/>
            </w:pPr>
            <w:r>
              <w:t>R$                       5.500,00</w:t>
            </w:r>
          </w:p>
        </w:tc>
      </w:tr>
      <w:tr w:rsidR="003E6D7D" w:rsidTr="003E6D7D">
        <w:tc>
          <w:tcPr>
            <w:tcW w:w="5882" w:type="dxa"/>
            <w:hideMark/>
          </w:tcPr>
          <w:p w:rsidR="003E6D7D" w:rsidRDefault="003E6D7D">
            <w:pPr>
              <w:jc w:val="both"/>
            </w:pPr>
            <w:r>
              <w:t>Receita de Serviços . . . . . . . . . . . . . . . . . . . . . . . . .</w:t>
            </w:r>
          </w:p>
        </w:tc>
        <w:tc>
          <w:tcPr>
            <w:tcW w:w="3096" w:type="dxa"/>
            <w:hideMark/>
          </w:tcPr>
          <w:p w:rsidR="003E6D7D" w:rsidRDefault="003E6D7D">
            <w:pPr>
              <w:jc w:val="both"/>
            </w:pPr>
            <w:r>
              <w:t>R$                   106.500,00</w:t>
            </w:r>
          </w:p>
        </w:tc>
      </w:tr>
      <w:tr w:rsidR="003E6D7D" w:rsidTr="003E6D7D">
        <w:tc>
          <w:tcPr>
            <w:tcW w:w="5882" w:type="dxa"/>
            <w:hideMark/>
          </w:tcPr>
          <w:p w:rsidR="003E6D7D" w:rsidRDefault="003E6D7D">
            <w:pPr>
              <w:jc w:val="both"/>
            </w:pPr>
            <w:r>
              <w:t xml:space="preserve">Transferências Correntes . . . . . . . . . . . . . . . . . . . . </w:t>
            </w:r>
          </w:p>
        </w:tc>
        <w:tc>
          <w:tcPr>
            <w:tcW w:w="3096" w:type="dxa"/>
            <w:hideMark/>
          </w:tcPr>
          <w:p w:rsidR="003E6D7D" w:rsidRDefault="003E6D7D">
            <w:pPr>
              <w:jc w:val="both"/>
            </w:pPr>
            <w:r>
              <w:t>R$              15.245.022,00</w:t>
            </w:r>
          </w:p>
        </w:tc>
      </w:tr>
      <w:tr w:rsidR="003E6D7D" w:rsidTr="003E6D7D">
        <w:tc>
          <w:tcPr>
            <w:tcW w:w="5882" w:type="dxa"/>
            <w:hideMark/>
          </w:tcPr>
          <w:p w:rsidR="003E6D7D" w:rsidRDefault="003E6D7D">
            <w:pPr>
              <w:jc w:val="both"/>
            </w:pPr>
            <w:r>
              <w:t>Outras Receitas Correntes . . . . . . . . . . . . . . . . . . . .</w:t>
            </w:r>
          </w:p>
        </w:tc>
        <w:tc>
          <w:tcPr>
            <w:tcW w:w="3096" w:type="dxa"/>
            <w:hideMark/>
          </w:tcPr>
          <w:p w:rsidR="003E6D7D" w:rsidRDefault="003E6D7D">
            <w:pPr>
              <w:jc w:val="both"/>
            </w:pPr>
            <w:r>
              <w:t>R$                   254.850,00</w:t>
            </w:r>
          </w:p>
        </w:tc>
      </w:tr>
      <w:tr w:rsidR="003E6D7D" w:rsidTr="003E6D7D">
        <w:tc>
          <w:tcPr>
            <w:tcW w:w="5882" w:type="dxa"/>
            <w:hideMark/>
          </w:tcPr>
          <w:p w:rsidR="003E6D7D" w:rsidRDefault="003E6D7D">
            <w:pPr>
              <w:pStyle w:val="Ttulo2"/>
              <w:rPr>
                <w:rFonts w:eastAsiaTheme="minorEastAsia"/>
                <w:b w:val="0"/>
                <w:sz w:val="24"/>
                <w:szCs w:val="24"/>
              </w:rPr>
            </w:pPr>
            <w:r>
              <w:rPr>
                <w:rFonts w:eastAsiaTheme="minorEastAsia"/>
                <w:b w:val="0"/>
                <w:sz w:val="24"/>
                <w:szCs w:val="24"/>
              </w:rPr>
              <w:t>(-) Dedução para o FUNDEB . . . . . . . . . . . . . . . . .</w:t>
            </w:r>
          </w:p>
        </w:tc>
        <w:tc>
          <w:tcPr>
            <w:tcW w:w="3096" w:type="dxa"/>
          </w:tcPr>
          <w:p w:rsidR="003E6D7D" w:rsidRDefault="003E6D7D">
            <w:pPr>
              <w:pStyle w:val="Ttulo4"/>
              <w:jc w:val="both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R$                2.362.000,00 (-)</w:t>
            </w:r>
          </w:p>
          <w:p w:rsidR="003E6D7D" w:rsidRDefault="003E6D7D"/>
        </w:tc>
      </w:tr>
    </w:tbl>
    <w:p w:rsidR="003E6D7D" w:rsidRDefault="003E6D7D" w:rsidP="003E6D7D"/>
    <w:tbl>
      <w:tblPr>
        <w:tblW w:w="898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5887"/>
        <w:gridCol w:w="3098"/>
      </w:tblGrid>
      <w:tr w:rsidR="003E6D7D" w:rsidTr="003E6D7D">
        <w:tc>
          <w:tcPr>
            <w:tcW w:w="5882" w:type="dxa"/>
          </w:tcPr>
          <w:p w:rsidR="003E6D7D" w:rsidRDefault="003E6D7D">
            <w:pPr>
              <w:pStyle w:val="Ttulo2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096" w:type="dxa"/>
          </w:tcPr>
          <w:p w:rsidR="003E6D7D" w:rsidRDefault="003E6D7D">
            <w:pPr>
              <w:jc w:val="both"/>
              <w:rPr>
                <w:b/>
              </w:rPr>
            </w:pPr>
          </w:p>
        </w:tc>
      </w:tr>
      <w:tr w:rsidR="003E6D7D" w:rsidTr="003E6D7D">
        <w:tc>
          <w:tcPr>
            <w:tcW w:w="5882" w:type="dxa"/>
            <w:hideMark/>
          </w:tcPr>
          <w:p w:rsidR="003E6D7D" w:rsidRDefault="003E6D7D">
            <w:pPr>
              <w:pStyle w:val="Ttulo2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Receitas Correntes Intra-orçamentárias . . . . . . . .</w:t>
            </w:r>
          </w:p>
        </w:tc>
        <w:tc>
          <w:tcPr>
            <w:tcW w:w="3096" w:type="dxa"/>
            <w:hideMark/>
          </w:tcPr>
          <w:p w:rsidR="003E6D7D" w:rsidRDefault="003E6D7D">
            <w:pPr>
              <w:jc w:val="both"/>
              <w:rPr>
                <w:b/>
              </w:rPr>
            </w:pPr>
            <w:r>
              <w:rPr>
                <w:b/>
              </w:rPr>
              <w:t>R$                1.370.000,00</w:t>
            </w:r>
          </w:p>
        </w:tc>
      </w:tr>
      <w:tr w:rsidR="003E6D7D" w:rsidTr="003E6D7D">
        <w:tc>
          <w:tcPr>
            <w:tcW w:w="5882" w:type="dxa"/>
            <w:hideMark/>
          </w:tcPr>
          <w:p w:rsidR="003E6D7D" w:rsidRDefault="003E6D7D">
            <w:pPr>
              <w:pStyle w:val="Ttulo2"/>
              <w:rPr>
                <w:rFonts w:eastAsiaTheme="minorEastAsia"/>
                <w:b w:val="0"/>
                <w:sz w:val="24"/>
                <w:szCs w:val="24"/>
              </w:rPr>
            </w:pPr>
            <w:r>
              <w:rPr>
                <w:rFonts w:eastAsiaTheme="minorEastAsia"/>
                <w:b w:val="0"/>
                <w:sz w:val="24"/>
                <w:szCs w:val="24"/>
              </w:rPr>
              <w:t xml:space="preserve"> Contribuições . . . . . . . . . . . . . . . . . . . . . . . . . . . . . .</w:t>
            </w:r>
          </w:p>
        </w:tc>
        <w:tc>
          <w:tcPr>
            <w:tcW w:w="3096" w:type="dxa"/>
            <w:hideMark/>
          </w:tcPr>
          <w:p w:rsidR="003E6D7D" w:rsidRDefault="003E6D7D">
            <w:pPr>
              <w:pStyle w:val="Ttulo4"/>
              <w:jc w:val="both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R$                1.370.000,00</w:t>
            </w:r>
          </w:p>
        </w:tc>
      </w:tr>
      <w:tr w:rsidR="003E6D7D" w:rsidTr="003E6D7D">
        <w:tc>
          <w:tcPr>
            <w:tcW w:w="5882" w:type="dxa"/>
          </w:tcPr>
          <w:p w:rsidR="003E6D7D" w:rsidRDefault="003E6D7D">
            <w:pPr>
              <w:jc w:val="both"/>
            </w:pPr>
          </w:p>
        </w:tc>
        <w:tc>
          <w:tcPr>
            <w:tcW w:w="3096" w:type="dxa"/>
          </w:tcPr>
          <w:p w:rsidR="003E6D7D" w:rsidRDefault="003E6D7D">
            <w:pPr>
              <w:jc w:val="both"/>
              <w:rPr>
                <w:b/>
              </w:rPr>
            </w:pPr>
          </w:p>
        </w:tc>
      </w:tr>
      <w:tr w:rsidR="003E6D7D" w:rsidTr="003E6D7D">
        <w:tc>
          <w:tcPr>
            <w:tcW w:w="5882" w:type="dxa"/>
            <w:hideMark/>
          </w:tcPr>
          <w:p w:rsidR="003E6D7D" w:rsidRDefault="003E6D7D">
            <w:pPr>
              <w:pStyle w:val="Ttulo2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 xml:space="preserve">RECEITAS DE CAPITAL . . . . . . . . . . . . . . . . . </w:t>
            </w:r>
          </w:p>
        </w:tc>
        <w:tc>
          <w:tcPr>
            <w:tcW w:w="3096" w:type="dxa"/>
            <w:hideMark/>
          </w:tcPr>
          <w:p w:rsidR="003E6D7D" w:rsidRDefault="003E6D7D">
            <w:pPr>
              <w:jc w:val="both"/>
              <w:rPr>
                <w:b/>
              </w:rPr>
            </w:pPr>
            <w:r>
              <w:rPr>
                <w:b/>
              </w:rPr>
              <w:t>R$                2.498.500,00</w:t>
            </w:r>
          </w:p>
        </w:tc>
      </w:tr>
      <w:tr w:rsidR="003E6D7D" w:rsidTr="003E6D7D">
        <w:tc>
          <w:tcPr>
            <w:tcW w:w="5882" w:type="dxa"/>
            <w:hideMark/>
          </w:tcPr>
          <w:p w:rsidR="003E6D7D" w:rsidRDefault="003E6D7D">
            <w:pPr>
              <w:jc w:val="both"/>
            </w:pPr>
            <w:r>
              <w:t>Operações de Crédito . . . . . . . . . . . . . . . . . . . . . . . .</w:t>
            </w:r>
          </w:p>
        </w:tc>
        <w:tc>
          <w:tcPr>
            <w:tcW w:w="3096" w:type="dxa"/>
            <w:hideMark/>
          </w:tcPr>
          <w:p w:rsidR="003E6D7D" w:rsidRDefault="003E6D7D">
            <w:pPr>
              <w:pStyle w:val="Ttulo3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R$                   100.000,00</w:t>
            </w:r>
          </w:p>
        </w:tc>
      </w:tr>
      <w:tr w:rsidR="003E6D7D" w:rsidTr="003E6D7D">
        <w:tc>
          <w:tcPr>
            <w:tcW w:w="5882" w:type="dxa"/>
            <w:hideMark/>
          </w:tcPr>
          <w:p w:rsidR="003E6D7D" w:rsidRDefault="003E6D7D">
            <w:pPr>
              <w:jc w:val="both"/>
            </w:pPr>
            <w:r>
              <w:t>Alienação de Bens . . . . . . . . . . . . . . . . . . . . . . . . . .</w:t>
            </w:r>
          </w:p>
        </w:tc>
        <w:tc>
          <w:tcPr>
            <w:tcW w:w="3096" w:type="dxa"/>
            <w:hideMark/>
          </w:tcPr>
          <w:p w:rsidR="003E6D7D" w:rsidRDefault="003E6D7D">
            <w:pPr>
              <w:pStyle w:val="Ttulo3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R$                     85.000,00</w:t>
            </w:r>
          </w:p>
        </w:tc>
      </w:tr>
      <w:tr w:rsidR="003E6D7D" w:rsidTr="003E6D7D">
        <w:tc>
          <w:tcPr>
            <w:tcW w:w="5882" w:type="dxa"/>
            <w:hideMark/>
          </w:tcPr>
          <w:p w:rsidR="003E6D7D" w:rsidRDefault="003E6D7D">
            <w:pPr>
              <w:jc w:val="both"/>
            </w:pPr>
            <w:r>
              <w:t xml:space="preserve">Transferências de Capital . . . . . . . . . . . . . . . . . . . . . </w:t>
            </w:r>
          </w:p>
        </w:tc>
        <w:tc>
          <w:tcPr>
            <w:tcW w:w="3096" w:type="dxa"/>
            <w:hideMark/>
          </w:tcPr>
          <w:p w:rsidR="003E6D7D" w:rsidRDefault="003E6D7D">
            <w:pPr>
              <w:jc w:val="both"/>
            </w:pPr>
            <w:r>
              <w:t>R$                2.313.500,00</w:t>
            </w:r>
          </w:p>
        </w:tc>
      </w:tr>
      <w:tr w:rsidR="003E6D7D" w:rsidTr="003E6D7D">
        <w:tc>
          <w:tcPr>
            <w:tcW w:w="5882" w:type="dxa"/>
          </w:tcPr>
          <w:p w:rsidR="003E6D7D" w:rsidRDefault="003E6D7D">
            <w:pPr>
              <w:jc w:val="both"/>
            </w:pPr>
          </w:p>
        </w:tc>
        <w:tc>
          <w:tcPr>
            <w:tcW w:w="3096" w:type="dxa"/>
          </w:tcPr>
          <w:p w:rsidR="003E6D7D" w:rsidRDefault="003E6D7D">
            <w:pPr>
              <w:jc w:val="both"/>
              <w:rPr>
                <w:b/>
              </w:rPr>
            </w:pPr>
          </w:p>
        </w:tc>
      </w:tr>
      <w:tr w:rsidR="003E6D7D" w:rsidTr="003E6D7D">
        <w:tc>
          <w:tcPr>
            <w:tcW w:w="5882" w:type="dxa"/>
            <w:hideMark/>
          </w:tcPr>
          <w:p w:rsidR="003E6D7D" w:rsidRDefault="003E6D7D">
            <w:pPr>
              <w:pStyle w:val="Ttulo2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TOTAL GERAL DA RECEITA . . . . . . . . . . . . .</w:t>
            </w:r>
          </w:p>
        </w:tc>
        <w:tc>
          <w:tcPr>
            <w:tcW w:w="3096" w:type="dxa"/>
            <w:hideMark/>
          </w:tcPr>
          <w:p w:rsidR="003E6D7D" w:rsidRDefault="003E6D7D">
            <w:pPr>
              <w:jc w:val="both"/>
              <w:rPr>
                <w:b/>
              </w:rPr>
            </w:pPr>
            <w:r>
              <w:rPr>
                <w:b/>
              </w:rPr>
              <w:t>R$              19.912.422,00</w:t>
            </w:r>
          </w:p>
        </w:tc>
      </w:tr>
    </w:tbl>
    <w:p w:rsidR="003E6D7D" w:rsidRDefault="003E6D7D" w:rsidP="003E6D7D">
      <w:pPr>
        <w:spacing w:line="360" w:lineRule="auto"/>
        <w:jc w:val="both"/>
      </w:pPr>
    </w:p>
    <w:p w:rsidR="003E6D7D" w:rsidRDefault="003E6D7D" w:rsidP="003E6D7D">
      <w:pPr>
        <w:spacing w:line="360" w:lineRule="auto"/>
        <w:jc w:val="center"/>
        <w:rPr>
          <w:b/>
        </w:rPr>
      </w:pPr>
      <w:r>
        <w:rPr>
          <w:b/>
        </w:rPr>
        <w:t>Seção II</w:t>
      </w:r>
    </w:p>
    <w:p w:rsidR="003E6D7D" w:rsidRDefault="003E6D7D" w:rsidP="003E6D7D">
      <w:pPr>
        <w:spacing w:line="360" w:lineRule="auto"/>
        <w:jc w:val="center"/>
        <w:rPr>
          <w:b/>
        </w:rPr>
      </w:pPr>
      <w:r>
        <w:rPr>
          <w:b/>
        </w:rPr>
        <w:t>Da Fixação da Despesa</w:t>
      </w:r>
    </w:p>
    <w:p w:rsidR="003E6D7D" w:rsidRDefault="003E6D7D" w:rsidP="003E6D7D">
      <w:pPr>
        <w:spacing w:line="360" w:lineRule="auto"/>
        <w:jc w:val="both"/>
        <w:rPr>
          <w:b/>
        </w:rPr>
      </w:pPr>
    </w:p>
    <w:p w:rsidR="003E6D7D" w:rsidRDefault="003E6D7D" w:rsidP="003E6D7D">
      <w:pPr>
        <w:spacing w:line="360" w:lineRule="auto"/>
        <w:jc w:val="both"/>
      </w:pP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Art. 3º - </w:t>
      </w:r>
      <w:r>
        <w:t>A Despesa total fixada nos Orçamentos Fiscal e da Seguridade Social é de R$ 19.912.422,00 (dezenove milhões, novecentos e doze mil, quatrocentos e vinte e dois reais), distribuída conforme Anexo 2 da Lei 4.320/64 – Natureza da Despesa Segundo as Categorias Econômicas – Consolidação Geral.</w:t>
      </w:r>
    </w:p>
    <w:p w:rsidR="003E6D7D" w:rsidRDefault="003E6D7D" w:rsidP="003E6D7D">
      <w:pPr>
        <w:spacing w:line="360" w:lineRule="auto"/>
        <w:jc w:val="both"/>
        <w:rPr>
          <w:b/>
        </w:rPr>
      </w:pPr>
    </w:p>
    <w:p w:rsidR="003E6D7D" w:rsidRDefault="003E6D7D" w:rsidP="003E6D7D">
      <w:pPr>
        <w:spacing w:line="360" w:lineRule="auto"/>
        <w:jc w:val="center"/>
        <w:rPr>
          <w:b/>
        </w:rPr>
      </w:pPr>
      <w:r>
        <w:rPr>
          <w:b/>
        </w:rPr>
        <w:t>Seção III</w:t>
      </w:r>
    </w:p>
    <w:p w:rsidR="003E6D7D" w:rsidRDefault="003E6D7D" w:rsidP="003E6D7D">
      <w:pPr>
        <w:spacing w:line="360" w:lineRule="auto"/>
        <w:jc w:val="center"/>
        <w:rPr>
          <w:b/>
        </w:rPr>
      </w:pPr>
      <w:r>
        <w:rPr>
          <w:b/>
        </w:rPr>
        <w:t>Da Distribuição da Despesa por Órgão</w:t>
      </w:r>
    </w:p>
    <w:p w:rsidR="003E6D7D" w:rsidRDefault="003E6D7D" w:rsidP="003E6D7D">
      <w:pPr>
        <w:spacing w:line="360" w:lineRule="auto"/>
        <w:jc w:val="both"/>
        <w:rPr>
          <w:b/>
        </w:rPr>
      </w:pPr>
    </w:p>
    <w:p w:rsidR="003E6D7D" w:rsidRDefault="003E6D7D" w:rsidP="003E6D7D">
      <w:pPr>
        <w:spacing w:line="360" w:lineRule="auto"/>
        <w:jc w:val="both"/>
      </w:pP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Art. 4º - </w:t>
      </w:r>
      <w:r>
        <w:t>A Despesa Total, fixada por Função, Poderes e Órgãos, a Consolidação dos Quadros Orçamentários e o Demonstrativo por Órgão, estão definidos nos Anexos, que são parte integrantes desta Lei.</w:t>
      </w:r>
    </w:p>
    <w:p w:rsidR="003E6D7D" w:rsidRDefault="003E6D7D" w:rsidP="003E6D7D">
      <w:pPr>
        <w:spacing w:line="360" w:lineRule="auto"/>
        <w:jc w:val="center"/>
        <w:rPr>
          <w:b/>
        </w:rPr>
      </w:pPr>
    </w:p>
    <w:p w:rsidR="003E6D7D" w:rsidRDefault="003E6D7D" w:rsidP="003E6D7D">
      <w:pPr>
        <w:spacing w:line="360" w:lineRule="auto"/>
        <w:jc w:val="center"/>
        <w:rPr>
          <w:b/>
        </w:rPr>
      </w:pPr>
    </w:p>
    <w:p w:rsidR="003E6D7D" w:rsidRDefault="003E6D7D" w:rsidP="003E6D7D">
      <w:pPr>
        <w:spacing w:line="360" w:lineRule="auto"/>
        <w:jc w:val="center"/>
        <w:rPr>
          <w:b/>
        </w:rPr>
      </w:pPr>
    </w:p>
    <w:p w:rsidR="003E6D7D" w:rsidRDefault="003E6D7D" w:rsidP="003E6D7D">
      <w:pPr>
        <w:spacing w:line="360" w:lineRule="auto"/>
        <w:jc w:val="center"/>
        <w:rPr>
          <w:b/>
        </w:rPr>
      </w:pPr>
      <w:r>
        <w:rPr>
          <w:b/>
        </w:rPr>
        <w:lastRenderedPageBreak/>
        <w:t>Seção IV</w:t>
      </w:r>
    </w:p>
    <w:p w:rsidR="003E6D7D" w:rsidRDefault="003E6D7D" w:rsidP="003E6D7D">
      <w:pPr>
        <w:spacing w:line="360" w:lineRule="auto"/>
        <w:jc w:val="center"/>
        <w:rPr>
          <w:b/>
        </w:rPr>
      </w:pPr>
      <w:r>
        <w:rPr>
          <w:b/>
        </w:rPr>
        <w:t>Da Autorização para Abertura de Crédito</w:t>
      </w:r>
    </w:p>
    <w:p w:rsidR="003E6D7D" w:rsidRDefault="003E6D7D" w:rsidP="003E6D7D">
      <w:pPr>
        <w:spacing w:line="360" w:lineRule="auto"/>
        <w:jc w:val="both"/>
        <w:rPr>
          <w:b/>
        </w:rPr>
      </w:pPr>
    </w:p>
    <w:p w:rsidR="003E6D7D" w:rsidRDefault="003E6D7D" w:rsidP="003E6D7D">
      <w:pPr>
        <w:spacing w:line="360" w:lineRule="auto"/>
        <w:jc w:val="both"/>
      </w:pP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Art. 5º - </w:t>
      </w:r>
      <w:r>
        <w:t>Fica o Poder Executivo autorizado, de acordo com os dispositivos constantes nos Artigos 7º, 42 e 43 da Lei nº 4.320/64 e no artigo 165, § 8º da Constituição Federal, a:</w:t>
      </w:r>
    </w:p>
    <w:p w:rsidR="003E6D7D" w:rsidRDefault="003E6D7D" w:rsidP="003E6D7D">
      <w:pPr>
        <w:spacing w:line="360" w:lineRule="auto"/>
        <w:jc w:val="both"/>
      </w:pPr>
      <w:r>
        <w:t>I – abrir crédito adicional suplementar para atender despesas relativas a aplicação ou transferência de receitas vinculadas que excedam a previsão orçamentária correspondente até o limite recebido;</w:t>
      </w:r>
    </w:p>
    <w:p w:rsidR="003E6D7D" w:rsidRDefault="003E6D7D" w:rsidP="003E6D7D">
      <w:pPr>
        <w:spacing w:line="360" w:lineRule="auto"/>
        <w:jc w:val="both"/>
      </w:pPr>
      <w:r>
        <w:t>II – abrir crédito adicional suplementar para remanejar dotações orçamentárias na mesma Unidade Orçamentária até o limite da sua dotação;</w:t>
      </w:r>
    </w:p>
    <w:p w:rsidR="003E6D7D" w:rsidRDefault="003E6D7D" w:rsidP="003E6D7D">
      <w:pPr>
        <w:spacing w:line="360" w:lineRule="auto"/>
        <w:jc w:val="both"/>
      </w:pPr>
      <w:r>
        <w:t>III – abrir crédito adicional suplementar com saldo de recursos vinculados não utilizados no exercício passado, até o limite do saldo bancário livre; e</w:t>
      </w:r>
    </w:p>
    <w:p w:rsidR="003E6D7D" w:rsidRDefault="003E6D7D" w:rsidP="003E6D7D">
      <w:pPr>
        <w:spacing w:line="360" w:lineRule="auto"/>
        <w:jc w:val="both"/>
      </w:pPr>
      <w:r>
        <w:t>IV – abrir, durante o exercício, créditos adicionais suplementares até o limite de 25% (vinte e cinco por cento) da despesa total autorizada, através de anulação parcial ou total de dotações.</w:t>
      </w:r>
    </w:p>
    <w:p w:rsidR="003E6D7D" w:rsidRDefault="003E6D7D" w:rsidP="003E6D7D">
      <w:pPr>
        <w:spacing w:line="360" w:lineRule="auto"/>
        <w:jc w:val="center"/>
        <w:rPr>
          <w:b/>
        </w:rPr>
      </w:pPr>
    </w:p>
    <w:p w:rsidR="003E6D7D" w:rsidRDefault="003E6D7D" w:rsidP="003E6D7D">
      <w:pPr>
        <w:spacing w:line="360" w:lineRule="auto"/>
        <w:jc w:val="center"/>
        <w:rPr>
          <w:b/>
        </w:rPr>
      </w:pPr>
      <w:r>
        <w:rPr>
          <w:b/>
        </w:rPr>
        <w:t>CAPÍTULO III</w:t>
      </w:r>
    </w:p>
    <w:p w:rsidR="003E6D7D" w:rsidRDefault="003E6D7D" w:rsidP="003E6D7D">
      <w:pPr>
        <w:spacing w:line="360" w:lineRule="auto"/>
        <w:jc w:val="center"/>
        <w:rPr>
          <w:b/>
        </w:rPr>
      </w:pPr>
      <w:r>
        <w:rPr>
          <w:b/>
        </w:rPr>
        <w:t>DISPOSIÇÕES GERAIS E FINAIS</w:t>
      </w:r>
    </w:p>
    <w:p w:rsidR="003E6D7D" w:rsidRDefault="003E6D7D" w:rsidP="003E6D7D">
      <w:pPr>
        <w:spacing w:line="360" w:lineRule="auto"/>
        <w:jc w:val="both"/>
      </w:pPr>
    </w:p>
    <w:p w:rsidR="003E6D7D" w:rsidRDefault="003E6D7D" w:rsidP="003E6D7D">
      <w:pPr>
        <w:spacing w:line="360" w:lineRule="auto"/>
        <w:jc w:val="both"/>
      </w:pP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Art. 6º – </w:t>
      </w:r>
      <w:r>
        <w:t>As transferências financeiras destinadas à Câmara Municipal estarão disponíveis até o dia 20 (vinte) de cada mês.</w:t>
      </w:r>
    </w:p>
    <w:p w:rsidR="003E6D7D" w:rsidRDefault="003E6D7D" w:rsidP="003E6D7D">
      <w:pPr>
        <w:spacing w:line="360" w:lineRule="auto"/>
        <w:jc w:val="both"/>
        <w:rPr>
          <w:b/>
        </w:rPr>
      </w:pPr>
    </w:p>
    <w:p w:rsidR="003E6D7D" w:rsidRDefault="003E6D7D" w:rsidP="003E6D7D">
      <w:pPr>
        <w:spacing w:line="360" w:lineRule="auto"/>
        <w:jc w:val="both"/>
      </w:pP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Art. 7º – </w:t>
      </w:r>
      <w:r>
        <w:t>Fica o Poder Executivo autorizado a contrair financiamentos com agências nacionais e internacionais oficiais de crédito para aplicação em investimentos previstos nesta Lei, bem como a oferecer as contra-garantias necessárias à obtenção de autorização do Tesouro Nacional para realização destes financiamentos.</w:t>
      </w:r>
    </w:p>
    <w:p w:rsidR="003E6D7D" w:rsidRDefault="003E6D7D" w:rsidP="003E6D7D">
      <w:pPr>
        <w:spacing w:line="360" w:lineRule="auto"/>
        <w:jc w:val="both"/>
      </w:pPr>
    </w:p>
    <w:p w:rsidR="003E6D7D" w:rsidRDefault="003E6D7D" w:rsidP="003E6D7D">
      <w:pPr>
        <w:spacing w:line="360" w:lineRule="auto"/>
        <w:jc w:val="both"/>
      </w:pP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Art. 8º – </w:t>
      </w:r>
      <w:r>
        <w:t xml:space="preserve">O Prefeito, no âmbito do Poder Executivo, poderá adotar parâmetros para utilização das dotações, de forma a compatibilizar as despesas à </w:t>
      </w:r>
      <w:r>
        <w:lastRenderedPageBreak/>
        <w:t xml:space="preserve">efetiva realização das receitas, para garantir as metas de resultado estabelecidas na Lei de Diretrizes Orçamentárias. </w:t>
      </w:r>
    </w:p>
    <w:p w:rsidR="003E6D7D" w:rsidRDefault="003E6D7D" w:rsidP="003E6D7D">
      <w:pPr>
        <w:spacing w:line="360" w:lineRule="auto"/>
        <w:jc w:val="both"/>
      </w:pPr>
    </w:p>
    <w:p w:rsidR="003E6D7D" w:rsidRDefault="003E6D7D" w:rsidP="003E6D7D">
      <w:pPr>
        <w:spacing w:line="360" w:lineRule="auto"/>
        <w:jc w:val="both"/>
      </w:pP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Art. 9º –</w:t>
      </w:r>
      <w:r>
        <w:t xml:space="preserve"> Esta Lei entra em vigor na data de sua publicação.</w:t>
      </w:r>
    </w:p>
    <w:p w:rsidR="00FB3CE1" w:rsidRPr="00882C70" w:rsidRDefault="00FB3CE1" w:rsidP="008B7F94">
      <w:pPr>
        <w:pStyle w:val="Corpodetexto2"/>
        <w:spacing w:line="360" w:lineRule="auto"/>
        <w:ind w:firstLine="708"/>
        <w:jc w:val="both"/>
        <w:rPr>
          <w:rFonts w:ascii="Arial" w:hAnsi="Arial" w:cs="Arial"/>
          <w:bCs/>
        </w:rPr>
      </w:pPr>
    </w:p>
    <w:p w:rsidR="0056349F" w:rsidRPr="003E6D7D" w:rsidRDefault="0056349F" w:rsidP="0056349F">
      <w:pPr>
        <w:pStyle w:val="Recuodecorpodetexto3"/>
        <w:spacing w:line="360" w:lineRule="auto"/>
        <w:ind w:left="0"/>
        <w:jc w:val="center"/>
        <w:rPr>
          <w:sz w:val="24"/>
          <w:szCs w:val="24"/>
        </w:rPr>
      </w:pPr>
      <w:r w:rsidRPr="003E6D7D">
        <w:rPr>
          <w:b/>
          <w:sz w:val="24"/>
          <w:szCs w:val="24"/>
        </w:rPr>
        <w:t>GABINETE DO PREFEITO MUNICIPAL DE DONA FRANCISCA</w:t>
      </w:r>
      <w:r w:rsidRPr="003E6D7D">
        <w:rPr>
          <w:sz w:val="24"/>
          <w:szCs w:val="24"/>
        </w:rPr>
        <w:t xml:space="preserve">, aos </w:t>
      </w:r>
      <w:r w:rsidR="00FB3CE1" w:rsidRPr="003E6D7D">
        <w:rPr>
          <w:sz w:val="24"/>
          <w:szCs w:val="24"/>
        </w:rPr>
        <w:t>três</w:t>
      </w:r>
      <w:r w:rsidRPr="003E6D7D">
        <w:rPr>
          <w:sz w:val="24"/>
          <w:szCs w:val="24"/>
        </w:rPr>
        <w:t xml:space="preserve"> dias do mês de </w:t>
      </w:r>
      <w:r w:rsidR="00FB3CE1" w:rsidRPr="003E6D7D">
        <w:rPr>
          <w:sz w:val="24"/>
          <w:szCs w:val="24"/>
        </w:rPr>
        <w:t>janeiro de dois mil e vinte</w:t>
      </w:r>
      <w:r w:rsidRPr="003E6D7D">
        <w:rPr>
          <w:sz w:val="24"/>
          <w:szCs w:val="24"/>
        </w:rPr>
        <w:t>.</w:t>
      </w:r>
    </w:p>
    <w:p w:rsidR="0056349F" w:rsidRPr="003E6D7D" w:rsidRDefault="0056349F" w:rsidP="0056349F">
      <w:pPr>
        <w:tabs>
          <w:tab w:val="left" w:pos="0"/>
        </w:tabs>
        <w:spacing w:after="120" w:line="360" w:lineRule="auto"/>
      </w:pPr>
    </w:p>
    <w:p w:rsidR="0056349F" w:rsidRPr="003E6D7D" w:rsidRDefault="0056349F" w:rsidP="0056349F">
      <w:pPr>
        <w:tabs>
          <w:tab w:val="left" w:pos="0"/>
        </w:tabs>
        <w:spacing w:after="120" w:line="360" w:lineRule="auto"/>
      </w:pPr>
    </w:p>
    <w:p w:rsidR="0056349F" w:rsidRPr="003E6D7D" w:rsidRDefault="0056349F" w:rsidP="0056349F">
      <w:pPr>
        <w:jc w:val="center"/>
        <w:rPr>
          <w:b/>
        </w:rPr>
      </w:pPr>
      <w:r w:rsidRPr="003E6D7D">
        <w:rPr>
          <w:b/>
        </w:rPr>
        <w:t>EDALEO DALA NORA</w:t>
      </w:r>
    </w:p>
    <w:p w:rsidR="0056349F" w:rsidRPr="003E6D7D" w:rsidRDefault="0056349F" w:rsidP="0056349F">
      <w:pPr>
        <w:jc w:val="center"/>
        <w:rPr>
          <w:b/>
        </w:rPr>
      </w:pPr>
      <w:r w:rsidRPr="003E6D7D">
        <w:rPr>
          <w:b/>
        </w:rPr>
        <w:t>Prefeito Municipal</w:t>
      </w:r>
    </w:p>
    <w:p w:rsidR="0056349F" w:rsidRPr="003E6D7D" w:rsidRDefault="0056349F" w:rsidP="0056349F">
      <w:pPr>
        <w:tabs>
          <w:tab w:val="left" w:pos="0"/>
        </w:tabs>
        <w:jc w:val="center"/>
        <w:rPr>
          <w:b/>
        </w:rPr>
      </w:pPr>
    </w:p>
    <w:p w:rsidR="0056349F" w:rsidRPr="003E6D7D" w:rsidRDefault="0056349F" w:rsidP="0056349F">
      <w:pPr>
        <w:tabs>
          <w:tab w:val="left" w:pos="0"/>
        </w:tabs>
        <w:jc w:val="center"/>
        <w:rPr>
          <w:b/>
        </w:rPr>
      </w:pPr>
    </w:p>
    <w:p w:rsidR="0056349F" w:rsidRPr="003E6D7D" w:rsidRDefault="0056349F" w:rsidP="0056349F">
      <w:pPr>
        <w:tabs>
          <w:tab w:val="left" w:pos="0"/>
        </w:tabs>
        <w:spacing w:after="120" w:line="360" w:lineRule="auto"/>
        <w:ind w:firstLine="709"/>
      </w:pPr>
    </w:p>
    <w:bookmarkEnd w:id="1"/>
    <w:p w:rsidR="0056349F" w:rsidRPr="003E6D7D" w:rsidRDefault="0056349F" w:rsidP="0056349F">
      <w:pPr>
        <w:pStyle w:val="Corpodetexto2"/>
        <w:spacing w:after="0" w:line="240" w:lineRule="auto"/>
        <w:rPr>
          <w:bCs/>
        </w:rPr>
      </w:pPr>
    </w:p>
    <w:p w:rsidR="0056349F" w:rsidRPr="003E6D7D" w:rsidRDefault="0056349F" w:rsidP="0056349F">
      <w:pPr>
        <w:pStyle w:val="Corpodetexto2"/>
        <w:spacing w:after="0" w:line="240" w:lineRule="auto"/>
        <w:rPr>
          <w:bCs/>
        </w:rPr>
      </w:pPr>
      <w:r w:rsidRPr="003E6D7D">
        <w:rPr>
          <w:bCs/>
        </w:rPr>
        <w:t>Registre-se e Publique-se</w:t>
      </w:r>
    </w:p>
    <w:p w:rsidR="0056349F" w:rsidRPr="003E6D7D" w:rsidRDefault="0056349F" w:rsidP="0056349F">
      <w:pPr>
        <w:pStyle w:val="Corpodetexto2"/>
        <w:spacing w:after="0" w:line="240" w:lineRule="auto"/>
        <w:rPr>
          <w:bCs/>
        </w:rPr>
      </w:pPr>
      <w:r w:rsidRPr="003E6D7D">
        <w:rPr>
          <w:bCs/>
        </w:rPr>
        <w:t xml:space="preserve">Em </w:t>
      </w:r>
      <w:r w:rsidR="00FB3CE1" w:rsidRPr="003E6D7D">
        <w:rPr>
          <w:bCs/>
        </w:rPr>
        <w:t>03 de janeiro de 2020.</w:t>
      </w:r>
    </w:p>
    <w:p w:rsidR="0056349F" w:rsidRPr="003E6D7D" w:rsidRDefault="0056349F" w:rsidP="0056349F">
      <w:pPr>
        <w:pStyle w:val="Corpodetexto2"/>
        <w:spacing w:after="0" w:line="240" w:lineRule="auto"/>
        <w:rPr>
          <w:bCs/>
        </w:rPr>
      </w:pPr>
    </w:p>
    <w:p w:rsidR="0056349F" w:rsidRPr="003E6D7D" w:rsidRDefault="0056349F" w:rsidP="0056349F">
      <w:pPr>
        <w:pStyle w:val="Corpodetexto2"/>
        <w:spacing w:after="0" w:line="240" w:lineRule="auto"/>
        <w:rPr>
          <w:bCs/>
        </w:rPr>
      </w:pPr>
      <w:r w:rsidRPr="003E6D7D">
        <w:rPr>
          <w:bCs/>
        </w:rPr>
        <w:t>Laura Hermes</w:t>
      </w:r>
    </w:p>
    <w:p w:rsidR="003F6037" w:rsidRPr="003E6D7D" w:rsidRDefault="0056349F">
      <w:r w:rsidRPr="003E6D7D">
        <w:rPr>
          <w:bCs/>
        </w:rPr>
        <w:t>Secretária Municipal de Administração e Planejamento.</w:t>
      </w:r>
    </w:p>
    <w:sectPr w:rsidR="003F6037" w:rsidRPr="003E6D7D" w:rsidSect="003E6D7D">
      <w:footerReference w:type="default" r:id="rId7"/>
      <w:pgSz w:w="11906" w:h="16838"/>
      <w:pgMar w:top="2268" w:right="1701" w:bottom="1418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87098" w:rsidRDefault="00087098" w:rsidP="00B03A0E">
      <w:r>
        <w:separator/>
      </w:r>
    </w:p>
  </w:endnote>
  <w:endnote w:type="continuationSeparator" w:id="1">
    <w:p w:rsidR="00087098" w:rsidRDefault="00087098" w:rsidP="00B03A0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ans Serif 12cpi">
    <w:altName w:val="Arial"/>
    <w:charset w:val="00"/>
    <w:family w:val="modern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839076891"/>
      <w:docPartObj>
        <w:docPartGallery w:val="Page Numbers (Bottom of Page)"/>
        <w:docPartUnique/>
      </w:docPartObj>
    </w:sdtPr>
    <w:sdtEndPr>
      <w:rPr>
        <w:rFonts w:ascii="Arial" w:hAnsi="Arial" w:cs="Arial"/>
        <w:sz w:val="16"/>
        <w:szCs w:val="16"/>
      </w:rPr>
    </w:sdtEndPr>
    <w:sdtContent>
      <w:p w:rsidR="00B03A0E" w:rsidRPr="00B03A0E" w:rsidRDefault="00DC2BEF">
        <w:pPr>
          <w:pStyle w:val="Rodap"/>
          <w:jc w:val="right"/>
          <w:rPr>
            <w:rFonts w:ascii="Arial" w:hAnsi="Arial" w:cs="Arial"/>
            <w:sz w:val="16"/>
            <w:szCs w:val="16"/>
          </w:rPr>
        </w:pPr>
        <w:r w:rsidRPr="00B03A0E">
          <w:rPr>
            <w:rFonts w:ascii="Arial" w:hAnsi="Arial" w:cs="Arial"/>
            <w:sz w:val="16"/>
            <w:szCs w:val="16"/>
          </w:rPr>
          <w:fldChar w:fldCharType="begin"/>
        </w:r>
        <w:r w:rsidR="00B03A0E" w:rsidRPr="00B03A0E">
          <w:rPr>
            <w:rFonts w:ascii="Arial" w:hAnsi="Arial" w:cs="Arial"/>
            <w:sz w:val="16"/>
            <w:szCs w:val="16"/>
          </w:rPr>
          <w:instrText>PAGE   \* MERGEFORMAT</w:instrText>
        </w:r>
        <w:r w:rsidRPr="00B03A0E">
          <w:rPr>
            <w:rFonts w:ascii="Arial" w:hAnsi="Arial" w:cs="Arial"/>
            <w:sz w:val="16"/>
            <w:szCs w:val="16"/>
          </w:rPr>
          <w:fldChar w:fldCharType="separate"/>
        </w:r>
        <w:r w:rsidR="002264ED">
          <w:rPr>
            <w:rFonts w:ascii="Arial" w:hAnsi="Arial" w:cs="Arial"/>
            <w:noProof/>
            <w:sz w:val="16"/>
            <w:szCs w:val="16"/>
          </w:rPr>
          <w:t>4</w:t>
        </w:r>
        <w:r w:rsidRPr="00B03A0E">
          <w:rPr>
            <w:rFonts w:ascii="Arial" w:hAnsi="Arial" w:cs="Arial"/>
            <w:sz w:val="16"/>
            <w:szCs w:val="16"/>
          </w:rPr>
          <w:fldChar w:fldCharType="end"/>
        </w:r>
      </w:p>
    </w:sdtContent>
  </w:sdt>
  <w:p w:rsidR="00B03A0E" w:rsidRDefault="00B03A0E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87098" w:rsidRDefault="00087098" w:rsidP="00B03A0E">
      <w:r>
        <w:separator/>
      </w:r>
    </w:p>
  </w:footnote>
  <w:footnote w:type="continuationSeparator" w:id="1">
    <w:p w:rsidR="00087098" w:rsidRDefault="00087098" w:rsidP="00B03A0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B3397A"/>
    <w:multiLevelType w:val="hybridMultilevel"/>
    <w:tmpl w:val="7E58589E"/>
    <w:lvl w:ilvl="0" w:tplc="BECC0F7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9E00558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1C5C70D4">
      <w:start w:val="1"/>
      <w:numFmt w:val="upperRoman"/>
      <w:lvlText w:val="%3."/>
      <w:lvlJc w:val="right"/>
      <w:pPr>
        <w:ind w:left="2160" w:hanging="180"/>
      </w:pPr>
      <w:rPr>
        <w:rFonts w:ascii="Arial" w:eastAsia="Calibri" w:hAnsi="Arial" w:cs="Times New Roman"/>
      </w:r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ED2CCF"/>
    <w:multiLevelType w:val="hybridMultilevel"/>
    <w:tmpl w:val="57085EFC"/>
    <w:lvl w:ilvl="0" w:tplc="1C5C70D4">
      <w:start w:val="1"/>
      <w:numFmt w:val="upperRoman"/>
      <w:lvlText w:val="%1."/>
      <w:lvlJc w:val="right"/>
      <w:pPr>
        <w:ind w:left="2160" w:hanging="180"/>
      </w:pPr>
      <w:rPr>
        <w:rFonts w:ascii="Arial" w:eastAsia="Calibri" w:hAnsi="Arial"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cumentProtection w:edit="readOnly" w:formatting="1" w:enforcement="1" w:cryptProviderType="rsaFull" w:cryptAlgorithmClass="hash" w:cryptAlgorithmType="typeAny" w:cryptAlgorithmSid="4" w:cryptSpinCount="50000" w:hash="XZQdfgUTIIJKpI5oRa4gmJkMduc=" w:salt="11a7p8bcN6jLHiZgN1mUzA=="/>
  <w:defaultTabStop w:val="708"/>
  <w:hyphenationZone w:val="425"/>
  <w:characterSpacingControl w:val="doNotCompress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/>
  <w:rsids>
    <w:rsidRoot w:val="0056349F"/>
    <w:rsid w:val="00087098"/>
    <w:rsid w:val="001E3239"/>
    <w:rsid w:val="002264ED"/>
    <w:rsid w:val="003E6D7D"/>
    <w:rsid w:val="003F6037"/>
    <w:rsid w:val="00460320"/>
    <w:rsid w:val="0056349F"/>
    <w:rsid w:val="0061422A"/>
    <w:rsid w:val="008B7F94"/>
    <w:rsid w:val="00B03A0E"/>
    <w:rsid w:val="00BC46E3"/>
    <w:rsid w:val="00DC2BEF"/>
    <w:rsid w:val="00FB3C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34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unhideWhenUsed/>
    <w:qFormat/>
    <w:rsid w:val="003E6D7D"/>
    <w:pPr>
      <w:keepNext/>
      <w:jc w:val="both"/>
      <w:outlineLvl w:val="1"/>
    </w:pPr>
    <w:rPr>
      <w:b/>
      <w:sz w:val="28"/>
      <w:szCs w:val="20"/>
    </w:rPr>
  </w:style>
  <w:style w:type="paragraph" w:styleId="Ttulo3">
    <w:name w:val="heading 3"/>
    <w:basedOn w:val="Normal"/>
    <w:next w:val="Normal"/>
    <w:link w:val="Ttulo3Char"/>
    <w:unhideWhenUsed/>
    <w:qFormat/>
    <w:rsid w:val="003E6D7D"/>
    <w:pPr>
      <w:keepNext/>
      <w:jc w:val="both"/>
      <w:outlineLvl w:val="2"/>
    </w:pPr>
    <w:rPr>
      <w:sz w:val="28"/>
      <w:szCs w:val="20"/>
    </w:rPr>
  </w:style>
  <w:style w:type="paragraph" w:styleId="Ttulo4">
    <w:name w:val="heading 4"/>
    <w:basedOn w:val="Normal"/>
    <w:next w:val="Normal"/>
    <w:link w:val="Ttulo4Char"/>
    <w:unhideWhenUsed/>
    <w:qFormat/>
    <w:rsid w:val="003E6D7D"/>
    <w:pPr>
      <w:keepNext/>
      <w:jc w:val="right"/>
      <w:outlineLvl w:val="3"/>
    </w:pPr>
    <w:rPr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nhideWhenUsed/>
    <w:rsid w:val="0056349F"/>
    <w:pPr>
      <w:jc w:val="center"/>
    </w:pPr>
    <w:rPr>
      <w:sz w:val="20"/>
      <w:szCs w:val="20"/>
    </w:rPr>
  </w:style>
  <w:style w:type="character" w:customStyle="1" w:styleId="CorpodetextoChar">
    <w:name w:val="Corpo de texto Char"/>
    <w:basedOn w:val="Fontepargpadro"/>
    <w:link w:val="Corpodetexto"/>
    <w:rsid w:val="0056349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56349F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semiHidden/>
    <w:rsid w:val="0056349F"/>
    <w:rPr>
      <w:rFonts w:ascii="Times New Roman" w:eastAsia="Times New Roman" w:hAnsi="Times New Roman" w:cs="Times New Roman"/>
      <w:sz w:val="24"/>
      <w:szCs w:val="24"/>
    </w:rPr>
  </w:style>
  <w:style w:type="paragraph" w:styleId="Corpodetexto2">
    <w:name w:val="Body Text 2"/>
    <w:basedOn w:val="Normal"/>
    <w:link w:val="Corpodetexto2Char"/>
    <w:semiHidden/>
    <w:unhideWhenUsed/>
    <w:rsid w:val="0056349F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semiHidden/>
    <w:rsid w:val="0056349F"/>
    <w:rPr>
      <w:rFonts w:ascii="Times New Roman" w:eastAsia="Times New Roman" w:hAnsi="Times New Roman" w:cs="Times New Roman"/>
      <w:sz w:val="24"/>
      <w:szCs w:val="24"/>
    </w:rPr>
  </w:style>
  <w:style w:type="paragraph" w:styleId="Recuodecorpodetexto3">
    <w:name w:val="Body Text Indent 3"/>
    <w:basedOn w:val="Normal"/>
    <w:link w:val="Recuodecorpodetexto3Char"/>
    <w:semiHidden/>
    <w:unhideWhenUsed/>
    <w:rsid w:val="0056349F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56349F"/>
    <w:rPr>
      <w:rFonts w:ascii="Times New Roman" w:eastAsia="Times New Roman" w:hAnsi="Times New Roman" w:cs="Times New Roman"/>
      <w:sz w:val="16"/>
      <w:szCs w:val="16"/>
    </w:rPr>
  </w:style>
  <w:style w:type="paragraph" w:customStyle="1" w:styleId="Ttulo1">
    <w:name w:val="Título1"/>
    <w:basedOn w:val="Normal"/>
    <w:next w:val="Corpodetexto"/>
    <w:rsid w:val="0056349F"/>
    <w:pPr>
      <w:jc w:val="center"/>
    </w:pPr>
    <w:rPr>
      <w:rFonts w:ascii="Sans Serif 12cpi" w:hAnsi="Sans Serif 12cpi" w:cs="Sans Serif 12cpi"/>
      <w:b/>
      <w:kern w:val="2"/>
      <w:szCs w:val="20"/>
      <w:lang w:eastAsia="zh-CN"/>
    </w:rPr>
  </w:style>
  <w:style w:type="paragraph" w:styleId="Cabealho">
    <w:name w:val="header"/>
    <w:basedOn w:val="Normal"/>
    <w:link w:val="CabealhoChar"/>
    <w:unhideWhenUsed/>
    <w:rsid w:val="0056349F"/>
    <w:pPr>
      <w:tabs>
        <w:tab w:val="center" w:pos="4252"/>
        <w:tab w:val="right" w:pos="8504"/>
      </w:tabs>
    </w:pPr>
    <w:rPr>
      <w:kern w:val="1"/>
      <w:sz w:val="20"/>
      <w:szCs w:val="20"/>
      <w:lang w:eastAsia="zh-CN"/>
    </w:rPr>
  </w:style>
  <w:style w:type="character" w:customStyle="1" w:styleId="CabealhoChar">
    <w:name w:val="Cabeçalho Char"/>
    <w:basedOn w:val="Fontepargpadro"/>
    <w:link w:val="Cabealho"/>
    <w:rsid w:val="0056349F"/>
    <w:rPr>
      <w:rFonts w:ascii="Times New Roman" w:eastAsia="Times New Roman" w:hAnsi="Times New Roman" w:cs="Times New Roman"/>
      <w:kern w:val="1"/>
      <w:sz w:val="20"/>
      <w:szCs w:val="20"/>
      <w:lang w:eastAsia="zh-CN"/>
    </w:rPr>
  </w:style>
  <w:style w:type="paragraph" w:styleId="PargrafodaLista">
    <w:name w:val="List Paragraph"/>
    <w:basedOn w:val="Normal"/>
    <w:uiPriority w:val="34"/>
    <w:qFormat/>
    <w:rsid w:val="0056349F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B03A0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03A0E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60320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60320"/>
    <w:rPr>
      <w:rFonts w:ascii="Segoe UI" w:eastAsia="Times New Roman" w:hAnsi="Segoe UI" w:cs="Segoe UI"/>
      <w:sz w:val="18"/>
      <w:szCs w:val="18"/>
      <w:lang w:eastAsia="pt-BR"/>
    </w:rPr>
  </w:style>
  <w:style w:type="character" w:customStyle="1" w:styleId="Ttulo2Char">
    <w:name w:val="Título 2 Char"/>
    <w:basedOn w:val="Fontepargpadro"/>
    <w:link w:val="Ttulo2"/>
    <w:rsid w:val="003E6D7D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3E6D7D"/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customStyle="1" w:styleId="Ttulo4Char">
    <w:name w:val="Título 4 Char"/>
    <w:basedOn w:val="Fontepargpadro"/>
    <w:link w:val="Ttulo4"/>
    <w:rsid w:val="003E6D7D"/>
    <w:rPr>
      <w:rFonts w:ascii="Times New Roman" w:eastAsia="Times New Roman" w:hAnsi="Times New Roman" w:cs="Times New Roman"/>
      <w:sz w:val="28"/>
      <w:szCs w:val="20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816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827</Words>
  <Characters>4467</Characters>
  <Application>Microsoft Office Word</Application>
  <DocSecurity>8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Assistencia Social</dc:creator>
  <cp:lastModifiedBy>Airton</cp:lastModifiedBy>
  <cp:revision>7</cp:revision>
  <cp:lastPrinted>2020-08-10T10:24:00Z</cp:lastPrinted>
  <dcterms:created xsi:type="dcterms:W3CDTF">2020-01-03T10:06:00Z</dcterms:created>
  <dcterms:modified xsi:type="dcterms:W3CDTF">2020-08-10T10:24:00Z</dcterms:modified>
</cp:coreProperties>
</file>